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3F" w:rsidRDefault="000B493F" w:rsidP="000B493F">
      <w:pPr>
        <w:spacing w:after="0" w:line="240" w:lineRule="auto"/>
        <w:jc w:val="both"/>
        <w:rPr>
          <w:rFonts w:ascii="Arial" w:eastAsia="Times New Roman" w:hAnsi="Arial" w:cs="Arial"/>
          <w:sz w:val="20"/>
          <w:szCs w:val="20"/>
        </w:rPr>
      </w:pPr>
      <w:r>
        <w:rPr>
          <w:rFonts w:ascii="Arial" w:eastAsia="Times New Roman" w:hAnsi="Arial" w:cs="Arial"/>
          <w:sz w:val="20"/>
          <w:szCs w:val="20"/>
        </w:rPr>
        <w:t>A</w:t>
      </w:r>
      <w:r w:rsidRPr="000B493F">
        <w:rPr>
          <w:rFonts w:ascii="Arial" w:eastAsia="Times New Roman" w:hAnsi="Arial" w:cs="Arial"/>
          <w:sz w:val="20"/>
          <w:szCs w:val="20"/>
        </w:rPr>
        <w:t xml:space="preserve">t its </w:t>
      </w:r>
      <w:r>
        <w:rPr>
          <w:rFonts w:ascii="Arial" w:eastAsia="Times New Roman" w:hAnsi="Arial" w:cs="Arial"/>
          <w:sz w:val="20"/>
          <w:szCs w:val="20"/>
        </w:rPr>
        <w:t>ei</w:t>
      </w:r>
      <w:r w:rsidRPr="000B493F">
        <w:rPr>
          <w:rFonts w:ascii="Arial" w:eastAsia="Times New Roman" w:hAnsi="Arial" w:cs="Arial"/>
          <w:sz w:val="20"/>
          <w:szCs w:val="20"/>
        </w:rPr>
        <w:t xml:space="preserve">ghth </w:t>
      </w:r>
      <w:r>
        <w:rPr>
          <w:rFonts w:ascii="Arial" w:eastAsia="Times New Roman" w:hAnsi="Arial" w:cs="Arial"/>
          <w:sz w:val="20"/>
          <w:szCs w:val="20"/>
        </w:rPr>
        <w:t>sitting</w:t>
      </w:r>
      <w:r w:rsidRPr="000B493F">
        <w:rPr>
          <w:rFonts w:ascii="Arial" w:eastAsia="Times New Roman" w:hAnsi="Arial" w:cs="Arial"/>
          <w:sz w:val="20"/>
          <w:szCs w:val="20"/>
        </w:rPr>
        <w:t xml:space="preserve"> held on </w:t>
      </w:r>
      <w:r>
        <w:rPr>
          <w:rFonts w:ascii="Arial" w:eastAsia="Times New Roman" w:hAnsi="Arial" w:cs="Arial"/>
          <w:sz w:val="20"/>
          <w:szCs w:val="20"/>
        </w:rPr>
        <w:t xml:space="preserve">18 </w:t>
      </w:r>
      <w:r w:rsidRPr="000B493F">
        <w:rPr>
          <w:rFonts w:ascii="Arial" w:eastAsia="Times New Roman" w:hAnsi="Arial" w:cs="Arial"/>
          <w:sz w:val="20"/>
          <w:szCs w:val="20"/>
        </w:rPr>
        <w:t xml:space="preserve">March </w:t>
      </w:r>
      <w:r w:rsidR="00E618CC">
        <w:rPr>
          <w:rFonts w:ascii="Arial" w:eastAsia="Times New Roman" w:hAnsi="Arial" w:cs="Arial"/>
          <w:sz w:val="20"/>
          <w:szCs w:val="20"/>
        </w:rPr>
        <w:t>2025</w:t>
      </w:r>
      <w:r w:rsidRPr="000B493F">
        <w:rPr>
          <w:rFonts w:ascii="Arial" w:eastAsia="Times New Roman" w:hAnsi="Arial" w:cs="Arial"/>
          <w:sz w:val="20"/>
          <w:szCs w:val="20"/>
        </w:rPr>
        <w:t xml:space="preserve"> </w:t>
      </w:r>
      <w:r w:rsidR="00E618CC">
        <w:rPr>
          <w:rFonts w:ascii="Arial" w:eastAsia="Times New Roman" w:hAnsi="Arial" w:cs="Arial"/>
          <w:sz w:val="20"/>
          <w:szCs w:val="20"/>
        </w:rPr>
        <w:t xml:space="preserve">and </w:t>
      </w:r>
      <w:r>
        <w:rPr>
          <w:rFonts w:ascii="Arial" w:eastAsia="Times New Roman" w:hAnsi="Arial" w:cs="Arial"/>
          <w:sz w:val="20"/>
          <w:szCs w:val="20"/>
        </w:rPr>
        <w:t xml:space="preserve">devoted to </w:t>
      </w:r>
      <w:r w:rsidRPr="000B493F">
        <w:rPr>
          <w:rFonts w:ascii="Arial" w:eastAsia="Times New Roman" w:hAnsi="Arial" w:cs="Arial"/>
          <w:sz w:val="20"/>
          <w:szCs w:val="20"/>
        </w:rPr>
        <w:t xml:space="preserve">informing the members of the Security Services Control Committee about the </w:t>
      </w:r>
      <w:r w:rsidR="00E618CC" w:rsidRPr="005D0DA4">
        <w:rPr>
          <w:rFonts w:ascii="Arial" w:eastAsia="Times New Roman" w:hAnsi="Arial" w:cs="Arial"/>
          <w:sz w:val="20"/>
          <w:szCs w:val="20"/>
        </w:rPr>
        <w:t xml:space="preserve">facts and circumstances related to the protest held on </w:t>
      </w:r>
      <w:r w:rsidR="00E618CC">
        <w:rPr>
          <w:rFonts w:ascii="Arial" w:eastAsia="Times New Roman" w:hAnsi="Arial" w:cs="Arial"/>
          <w:sz w:val="20"/>
          <w:szCs w:val="20"/>
        </w:rPr>
        <w:t xml:space="preserve">15 </w:t>
      </w:r>
      <w:r w:rsidR="00E618CC">
        <w:rPr>
          <w:rFonts w:ascii="Arial" w:eastAsia="Times New Roman" w:hAnsi="Arial" w:cs="Arial"/>
          <w:sz w:val="20"/>
          <w:szCs w:val="20"/>
        </w:rPr>
        <w:t>March 2025 in Belgrade</w:t>
      </w:r>
      <w:r w:rsidRPr="000B493F">
        <w:rPr>
          <w:rFonts w:ascii="Arial" w:eastAsia="Times New Roman" w:hAnsi="Arial" w:cs="Arial"/>
          <w:sz w:val="20"/>
          <w:szCs w:val="20"/>
        </w:rPr>
        <w:t xml:space="preserve">, </w:t>
      </w:r>
      <w:r w:rsidR="00E618CC">
        <w:rPr>
          <w:rFonts w:ascii="Arial" w:eastAsia="Times New Roman" w:hAnsi="Arial" w:cs="Arial"/>
          <w:sz w:val="20"/>
          <w:szCs w:val="20"/>
        </w:rPr>
        <w:t>pursuant</w:t>
      </w:r>
      <w:r w:rsidRPr="000B493F">
        <w:rPr>
          <w:rFonts w:ascii="Arial" w:eastAsia="Times New Roman" w:hAnsi="Arial" w:cs="Arial"/>
          <w:sz w:val="20"/>
          <w:szCs w:val="20"/>
        </w:rPr>
        <w:t xml:space="preserve"> </w:t>
      </w:r>
      <w:r w:rsidR="00E618CC">
        <w:rPr>
          <w:rFonts w:ascii="Arial" w:eastAsia="Times New Roman" w:hAnsi="Arial" w:cs="Arial"/>
          <w:sz w:val="20"/>
          <w:szCs w:val="20"/>
        </w:rPr>
        <w:t>t</w:t>
      </w:r>
      <w:r w:rsidRPr="000B493F">
        <w:rPr>
          <w:rFonts w:ascii="Arial" w:eastAsia="Times New Roman" w:hAnsi="Arial" w:cs="Arial"/>
          <w:sz w:val="20"/>
          <w:szCs w:val="20"/>
        </w:rPr>
        <w:t>o Article 66 of the National Assembly</w:t>
      </w:r>
      <w:r w:rsidR="00E618CC" w:rsidRPr="00E618CC">
        <w:rPr>
          <w:rFonts w:ascii="Arial" w:eastAsia="Times New Roman" w:hAnsi="Arial" w:cs="Arial"/>
          <w:sz w:val="20"/>
          <w:szCs w:val="20"/>
        </w:rPr>
        <w:t xml:space="preserve"> </w:t>
      </w:r>
      <w:r w:rsidR="00E618CC">
        <w:rPr>
          <w:rFonts w:ascii="Arial" w:eastAsia="Times New Roman" w:hAnsi="Arial" w:cs="Arial"/>
          <w:sz w:val="20"/>
          <w:szCs w:val="20"/>
        </w:rPr>
        <w:t>Rules of Procedure</w:t>
      </w:r>
      <w:r w:rsidRPr="000B493F">
        <w:rPr>
          <w:rFonts w:ascii="Arial" w:eastAsia="Times New Roman" w:hAnsi="Arial" w:cs="Arial"/>
          <w:sz w:val="20"/>
          <w:szCs w:val="20"/>
        </w:rPr>
        <w:t xml:space="preserve">, </w:t>
      </w:r>
      <w:r>
        <w:rPr>
          <w:rFonts w:ascii="Arial" w:eastAsia="Times New Roman" w:hAnsi="Arial" w:cs="Arial"/>
          <w:sz w:val="20"/>
          <w:szCs w:val="20"/>
        </w:rPr>
        <w:t>t</w:t>
      </w:r>
      <w:r w:rsidRPr="000B493F">
        <w:rPr>
          <w:rFonts w:ascii="Arial" w:eastAsia="Times New Roman" w:hAnsi="Arial" w:cs="Arial"/>
          <w:sz w:val="20"/>
          <w:szCs w:val="20"/>
        </w:rPr>
        <w:t xml:space="preserve">he Committee </w:t>
      </w:r>
      <w:r w:rsidRPr="000B493F">
        <w:rPr>
          <w:rFonts w:ascii="Arial" w:eastAsia="Times New Roman" w:hAnsi="Arial" w:cs="Arial"/>
          <w:sz w:val="20"/>
          <w:szCs w:val="20"/>
        </w:rPr>
        <w:t>adopted the following</w:t>
      </w:r>
    </w:p>
    <w:p w:rsidR="000B493F" w:rsidRPr="000B493F" w:rsidRDefault="000B493F" w:rsidP="000B493F">
      <w:pPr>
        <w:spacing w:after="0" w:line="240" w:lineRule="auto"/>
        <w:jc w:val="both"/>
        <w:rPr>
          <w:rFonts w:ascii="Arial" w:eastAsia="Times New Roman" w:hAnsi="Arial" w:cs="Arial"/>
          <w:sz w:val="20"/>
          <w:szCs w:val="20"/>
        </w:rPr>
      </w:pPr>
    </w:p>
    <w:p w:rsidR="000B493F" w:rsidRPr="000B493F" w:rsidRDefault="000B493F" w:rsidP="000B493F">
      <w:pPr>
        <w:spacing w:after="0" w:line="240" w:lineRule="auto"/>
        <w:jc w:val="center"/>
        <w:rPr>
          <w:rFonts w:ascii="Arial" w:eastAsia="Times New Roman" w:hAnsi="Arial" w:cs="Arial"/>
          <w:sz w:val="20"/>
          <w:szCs w:val="20"/>
        </w:rPr>
      </w:pPr>
      <w:r w:rsidRPr="000B493F">
        <w:rPr>
          <w:rFonts w:ascii="Arial" w:eastAsia="Times New Roman" w:hAnsi="Arial" w:cs="Arial"/>
          <w:sz w:val="20"/>
          <w:szCs w:val="20"/>
        </w:rPr>
        <w:t>CONCLUSIONS</w:t>
      </w:r>
    </w:p>
    <w:p w:rsidR="000B493F" w:rsidRPr="000B493F" w:rsidRDefault="000B493F" w:rsidP="000B493F">
      <w:pPr>
        <w:spacing w:after="0" w:line="240" w:lineRule="auto"/>
        <w:jc w:val="both"/>
        <w:rPr>
          <w:rFonts w:ascii="Arial" w:eastAsia="Times New Roman" w:hAnsi="Arial" w:cs="Arial"/>
          <w:sz w:val="20"/>
          <w:szCs w:val="20"/>
        </w:rPr>
      </w:pPr>
    </w:p>
    <w:p w:rsidR="000B493F" w:rsidRPr="000B493F" w:rsidRDefault="000B493F" w:rsidP="000B493F">
      <w:pPr>
        <w:spacing w:after="0" w:line="240" w:lineRule="auto"/>
        <w:jc w:val="both"/>
        <w:rPr>
          <w:rFonts w:ascii="Arial" w:eastAsia="Times New Roman" w:hAnsi="Arial" w:cs="Arial"/>
          <w:sz w:val="20"/>
          <w:szCs w:val="20"/>
        </w:rPr>
      </w:pPr>
      <w:r w:rsidRPr="000B493F">
        <w:rPr>
          <w:rFonts w:ascii="Arial" w:eastAsia="Times New Roman" w:hAnsi="Arial" w:cs="Arial"/>
          <w:sz w:val="20"/>
          <w:szCs w:val="20"/>
        </w:rPr>
        <w:t>The Security Services Control Commi</w:t>
      </w:r>
      <w:r w:rsidR="00E618CC">
        <w:rPr>
          <w:rFonts w:ascii="Arial" w:eastAsia="Times New Roman" w:hAnsi="Arial" w:cs="Arial"/>
          <w:sz w:val="20"/>
          <w:szCs w:val="20"/>
        </w:rPr>
        <w:t xml:space="preserve">ttee believes that the Security </w:t>
      </w:r>
      <w:r w:rsidRPr="000B493F">
        <w:rPr>
          <w:rFonts w:ascii="Arial" w:eastAsia="Times New Roman" w:hAnsi="Arial" w:cs="Arial"/>
          <w:sz w:val="20"/>
          <w:szCs w:val="20"/>
        </w:rPr>
        <w:t xml:space="preserve">Information Agency, Military Security Agency and the Military Intelligence Agency acted exclusively within their competences </w:t>
      </w:r>
      <w:r w:rsidR="00E618CC">
        <w:rPr>
          <w:rFonts w:ascii="Arial" w:eastAsia="Times New Roman" w:hAnsi="Arial" w:cs="Arial"/>
          <w:sz w:val="20"/>
          <w:szCs w:val="20"/>
        </w:rPr>
        <w:t xml:space="preserve">as </w:t>
      </w:r>
      <w:r w:rsidRPr="000B493F">
        <w:rPr>
          <w:rFonts w:ascii="Arial" w:eastAsia="Times New Roman" w:hAnsi="Arial" w:cs="Arial"/>
          <w:sz w:val="20"/>
          <w:szCs w:val="20"/>
        </w:rPr>
        <w:t xml:space="preserve">prescribed by the Constitution and laws of the Republic of Serbia during the protest gathering of citizens in Belgrade on </w:t>
      </w:r>
      <w:r w:rsidR="00E618CC">
        <w:rPr>
          <w:rFonts w:ascii="Arial" w:eastAsia="Times New Roman" w:hAnsi="Arial" w:cs="Arial"/>
          <w:sz w:val="20"/>
          <w:szCs w:val="20"/>
        </w:rPr>
        <w:t xml:space="preserve">15 </w:t>
      </w:r>
      <w:r w:rsidRPr="000B493F">
        <w:rPr>
          <w:rFonts w:ascii="Arial" w:eastAsia="Times New Roman" w:hAnsi="Arial" w:cs="Arial"/>
          <w:sz w:val="20"/>
          <w:szCs w:val="20"/>
        </w:rPr>
        <w:t xml:space="preserve">March 2025, and that they did not </w:t>
      </w:r>
      <w:r w:rsidR="00E618CC">
        <w:rPr>
          <w:rFonts w:ascii="Arial" w:eastAsia="Times New Roman" w:hAnsi="Arial" w:cs="Arial"/>
          <w:sz w:val="20"/>
          <w:szCs w:val="20"/>
        </w:rPr>
        <w:t>have</w:t>
      </w:r>
      <w:r w:rsidRPr="000B493F">
        <w:rPr>
          <w:rFonts w:ascii="Arial" w:eastAsia="Times New Roman" w:hAnsi="Arial" w:cs="Arial"/>
          <w:sz w:val="20"/>
          <w:szCs w:val="20"/>
        </w:rPr>
        <w:t xml:space="preserve"> the technical </w:t>
      </w:r>
      <w:r w:rsidR="00E618CC">
        <w:rPr>
          <w:rFonts w:ascii="Arial" w:eastAsia="Times New Roman" w:hAnsi="Arial" w:cs="Arial"/>
          <w:sz w:val="20"/>
          <w:szCs w:val="20"/>
        </w:rPr>
        <w:t xml:space="preserve">resource </w:t>
      </w:r>
      <w:r w:rsidRPr="000B493F">
        <w:rPr>
          <w:rFonts w:ascii="Arial" w:eastAsia="Times New Roman" w:hAnsi="Arial" w:cs="Arial"/>
          <w:sz w:val="20"/>
          <w:szCs w:val="20"/>
        </w:rPr>
        <w:t>of the "s</w:t>
      </w:r>
      <w:r w:rsidR="00E618CC">
        <w:rPr>
          <w:rFonts w:ascii="Arial" w:eastAsia="Times New Roman" w:hAnsi="Arial" w:cs="Arial"/>
          <w:sz w:val="20"/>
          <w:szCs w:val="20"/>
        </w:rPr>
        <w:t>onic</w:t>
      </w:r>
      <w:r w:rsidRPr="000B493F">
        <w:rPr>
          <w:rFonts w:ascii="Arial" w:eastAsia="Times New Roman" w:hAnsi="Arial" w:cs="Arial"/>
          <w:sz w:val="20"/>
          <w:szCs w:val="20"/>
        </w:rPr>
        <w:t xml:space="preserve"> cannon"</w:t>
      </w:r>
      <w:r w:rsidR="00E618CC">
        <w:rPr>
          <w:rFonts w:ascii="Arial" w:eastAsia="Times New Roman" w:hAnsi="Arial" w:cs="Arial"/>
          <w:sz w:val="20"/>
          <w:szCs w:val="20"/>
        </w:rPr>
        <w:t xml:space="preserve"> at their disposal</w:t>
      </w:r>
      <w:r w:rsidRPr="000B493F">
        <w:rPr>
          <w:rFonts w:ascii="Arial" w:eastAsia="Times New Roman" w:hAnsi="Arial" w:cs="Arial"/>
          <w:sz w:val="20"/>
          <w:szCs w:val="20"/>
        </w:rPr>
        <w:t>, which, therefore, they could not have used.</w:t>
      </w:r>
    </w:p>
    <w:p w:rsidR="000B493F" w:rsidRPr="000B493F" w:rsidRDefault="000B493F" w:rsidP="000B493F">
      <w:pPr>
        <w:spacing w:after="0" w:line="240" w:lineRule="auto"/>
        <w:jc w:val="both"/>
        <w:rPr>
          <w:rFonts w:ascii="Arial" w:eastAsia="Times New Roman" w:hAnsi="Arial" w:cs="Arial"/>
          <w:sz w:val="20"/>
          <w:szCs w:val="20"/>
        </w:rPr>
      </w:pPr>
    </w:p>
    <w:p w:rsidR="000B493F" w:rsidRPr="000B493F" w:rsidRDefault="000B493F" w:rsidP="000B493F">
      <w:pPr>
        <w:spacing w:after="0" w:line="240" w:lineRule="auto"/>
        <w:jc w:val="both"/>
        <w:rPr>
          <w:rFonts w:ascii="Arial" w:eastAsia="Times New Roman" w:hAnsi="Arial" w:cs="Arial"/>
          <w:sz w:val="20"/>
          <w:szCs w:val="20"/>
        </w:rPr>
      </w:pPr>
      <w:r w:rsidRPr="000B493F">
        <w:rPr>
          <w:rFonts w:ascii="Arial" w:eastAsia="Times New Roman" w:hAnsi="Arial" w:cs="Arial"/>
          <w:sz w:val="20"/>
          <w:szCs w:val="20"/>
        </w:rPr>
        <w:t>The Committee emphasi</w:t>
      </w:r>
      <w:r w:rsidR="00E618CC">
        <w:rPr>
          <w:rFonts w:ascii="Arial" w:eastAsia="Times New Roman" w:hAnsi="Arial" w:cs="Arial"/>
          <w:sz w:val="20"/>
          <w:szCs w:val="20"/>
        </w:rPr>
        <w:t>s</w:t>
      </w:r>
      <w:r w:rsidRPr="000B493F">
        <w:rPr>
          <w:rFonts w:ascii="Arial" w:eastAsia="Times New Roman" w:hAnsi="Arial" w:cs="Arial"/>
          <w:sz w:val="20"/>
          <w:szCs w:val="20"/>
        </w:rPr>
        <w:t>es that the Republic of Serbia is a signatory to a number of arms control agreements and is subject to regular international inspection by OSCE member states of all available resources - personnel, material assets, weapons and military equipment.</w:t>
      </w:r>
    </w:p>
    <w:p w:rsidR="000B493F" w:rsidRPr="000B493F" w:rsidRDefault="000B493F" w:rsidP="000B493F">
      <w:pPr>
        <w:spacing w:after="0" w:line="240" w:lineRule="auto"/>
        <w:jc w:val="both"/>
        <w:rPr>
          <w:rFonts w:ascii="Arial" w:eastAsia="Times New Roman" w:hAnsi="Arial" w:cs="Arial"/>
          <w:sz w:val="20"/>
          <w:szCs w:val="20"/>
        </w:rPr>
      </w:pPr>
    </w:p>
    <w:p w:rsidR="000B493F" w:rsidRPr="000B493F" w:rsidRDefault="000B493F" w:rsidP="000B493F">
      <w:pPr>
        <w:spacing w:after="0" w:line="240" w:lineRule="auto"/>
        <w:jc w:val="both"/>
        <w:rPr>
          <w:rFonts w:ascii="Arial" w:eastAsia="Times New Roman" w:hAnsi="Arial" w:cs="Arial"/>
          <w:sz w:val="20"/>
          <w:szCs w:val="20"/>
        </w:rPr>
      </w:pPr>
      <w:r w:rsidRPr="000B493F">
        <w:rPr>
          <w:rFonts w:ascii="Arial" w:eastAsia="Times New Roman" w:hAnsi="Arial" w:cs="Arial"/>
          <w:sz w:val="20"/>
          <w:szCs w:val="20"/>
        </w:rPr>
        <w:t>The Committee believes that the allegations about the use of a "so</w:t>
      </w:r>
      <w:r w:rsidR="00E618CC">
        <w:rPr>
          <w:rFonts w:ascii="Arial" w:eastAsia="Times New Roman" w:hAnsi="Arial" w:cs="Arial"/>
          <w:sz w:val="20"/>
          <w:szCs w:val="20"/>
        </w:rPr>
        <w:t>nic</w:t>
      </w:r>
      <w:r w:rsidRPr="000B493F">
        <w:rPr>
          <w:rFonts w:ascii="Arial" w:eastAsia="Times New Roman" w:hAnsi="Arial" w:cs="Arial"/>
          <w:sz w:val="20"/>
          <w:szCs w:val="20"/>
        </w:rPr>
        <w:t xml:space="preserve"> cannon" during the protest gathering of citizens on </w:t>
      </w:r>
      <w:r w:rsidR="00E618CC">
        <w:rPr>
          <w:rFonts w:ascii="Arial" w:eastAsia="Times New Roman" w:hAnsi="Arial" w:cs="Arial"/>
          <w:sz w:val="20"/>
          <w:szCs w:val="20"/>
        </w:rPr>
        <w:t xml:space="preserve">15 </w:t>
      </w:r>
      <w:r w:rsidRPr="000B493F">
        <w:rPr>
          <w:rFonts w:ascii="Arial" w:eastAsia="Times New Roman" w:hAnsi="Arial" w:cs="Arial"/>
          <w:sz w:val="20"/>
          <w:szCs w:val="20"/>
        </w:rPr>
        <w:t>March 2025, are not reliable and that there are no relevant facts and evidence to support these allegations. The Security Information Agency, Military Security Agency and the Military Intelligence Agency, within their competences, do not have information about the possible use of unauthori</w:t>
      </w:r>
      <w:r w:rsidR="00E618CC">
        <w:rPr>
          <w:rFonts w:ascii="Arial" w:eastAsia="Times New Roman" w:hAnsi="Arial" w:cs="Arial"/>
          <w:sz w:val="20"/>
          <w:szCs w:val="20"/>
        </w:rPr>
        <w:t>s</w:t>
      </w:r>
      <w:r w:rsidRPr="000B493F">
        <w:rPr>
          <w:rFonts w:ascii="Arial" w:eastAsia="Times New Roman" w:hAnsi="Arial" w:cs="Arial"/>
          <w:sz w:val="20"/>
          <w:szCs w:val="20"/>
        </w:rPr>
        <w:t xml:space="preserve">ed </w:t>
      </w:r>
      <w:r w:rsidR="00827C07">
        <w:rPr>
          <w:rFonts w:ascii="Arial" w:eastAsia="Times New Roman" w:hAnsi="Arial" w:cs="Arial"/>
          <w:sz w:val="20"/>
          <w:szCs w:val="20"/>
        </w:rPr>
        <w:t>resources</w:t>
      </w:r>
      <w:r w:rsidRPr="000B493F">
        <w:rPr>
          <w:rFonts w:ascii="Arial" w:eastAsia="Times New Roman" w:hAnsi="Arial" w:cs="Arial"/>
          <w:sz w:val="20"/>
          <w:szCs w:val="20"/>
        </w:rPr>
        <w:t>, namely the "so</w:t>
      </w:r>
      <w:r w:rsidR="00E618CC">
        <w:rPr>
          <w:rFonts w:ascii="Arial" w:eastAsia="Times New Roman" w:hAnsi="Arial" w:cs="Arial"/>
          <w:sz w:val="20"/>
          <w:szCs w:val="20"/>
        </w:rPr>
        <w:t>nic</w:t>
      </w:r>
      <w:r w:rsidRPr="000B493F">
        <w:rPr>
          <w:rFonts w:ascii="Arial" w:eastAsia="Times New Roman" w:hAnsi="Arial" w:cs="Arial"/>
          <w:sz w:val="20"/>
          <w:szCs w:val="20"/>
        </w:rPr>
        <w:t xml:space="preserve"> cannon" during the protest held in Belgrade on </w:t>
      </w:r>
      <w:r w:rsidR="00E618CC">
        <w:rPr>
          <w:rFonts w:ascii="Arial" w:eastAsia="Times New Roman" w:hAnsi="Arial" w:cs="Arial"/>
          <w:sz w:val="20"/>
          <w:szCs w:val="20"/>
        </w:rPr>
        <w:t xml:space="preserve">15 </w:t>
      </w:r>
      <w:r w:rsidRPr="000B493F">
        <w:rPr>
          <w:rFonts w:ascii="Arial" w:eastAsia="Times New Roman" w:hAnsi="Arial" w:cs="Arial"/>
          <w:sz w:val="20"/>
          <w:szCs w:val="20"/>
        </w:rPr>
        <w:t>March 2025.</w:t>
      </w:r>
    </w:p>
    <w:p w:rsidR="000B493F" w:rsidRPr="000B493F" w:rsidRDefault="000B493F" w:rsidP="000B493F">
      <w:pPr>
        <w:spacing w:after="0" w:line="240" w:lineRule="auto"/>
        <w:jc w:val="both"/>
        <w:rPr>
          <w:rFonts w:ascii="Arial" w:eastAsia="Times New Roman" w:hAnsi="Arial" w:cs="Arial"/>
          <w:sz w:val="20"/>
          <w:szCs w:val="20"/>
        </w:rPr>
      </w:pPr>
    </w:p>
    <w:p w:rsidR="000B493F" w:rsidRPr="000B493F" w:rsidRDefault="000B493F" w:rsidP="000B493F">
      <w:pPr>
        <w:spacing w:after="0" w:line="240" w:lineRule="auto"/>
        <w:jc w:val="both"/>
        <w:rPr>
          <w:rFonts w:ascii="Arial" w:eastAsia="Times New Roman" w:hAnsi="Arial" w:cs="Arial"/>
          <w:sz w:val="20"/>
          <w:szCs w:val="20"/>
        </w:rPr>
      </w:pPr>
      <w:r w:rsidRPr="000B493F">
        <w:rPr>
          <w:rFonts w:ascii="Arial" w:eastAsia="Times New Roman" w:hAnsi="Arial" w:cs="Arial"/>
          <w:sz w:val="20"/>
          <w:szCs w:val="20"/>
        </w:rPr>
        <w:t xml:space="preserve">The Security Services Control </w:t>
      </w:r>
      <w:r w:rsidR="00827C07">
        <w:rPr>
          <w:rFonts w:ascii="Arial" w:eastAsia="Times New Roman" w:hAnsi="Arial" w:cs="Arial"/>
          <w:sz w:val="20"/>
          <w:szCs w:val="20"/>
        </w:rPr>
        <w:t>Committee</w:t>
      </w:r>
      <w:r w:rsidRPr="000B493F">
        <w:rPr>
          <w:rFonts w:ascii="Arial" w:eastAsia="Times New Roman" w:hAnsi="Arial" w:cs="Arial"/>
          <w:sz w:val="20"/>
          <w:szCs w:val="20"/>
        </w:rPr>
        <w:t xml:space="preserve"> calls on </w:t>
      </w:r>
      <w:r w:rsidR="00827C07">
        <w:rPr>
          <w:rFonts w:ascii="Arial" w:eastAsia="Times New Roman" w:hAnsi="Arial" w:cs="Arial"/>
          <w:sz w:val="20"/>
          <w:szCs w:val="20"/>
        </w:rPr>
        <w:t xml:space="preserve">the </w:t>
      </w:r>
      <w:r w:rsidRPr="000B493F">
        <w:rPr>
          <w:rFonts w:ascii="Arial" w:eastAsia="Times New Roman" w:hAnsi="Arial" w:cs="Arial"/>
          <w:sz w:val="20"/>
          <w:szCs w:val="20"/>
        </w:rPr>
        <w:t xml:space="preserve">citizens and the media to refrain from disseminating unverified information that may cause unrest among citizens and undermine the security system of the Republic of Serbia, and the competent institutions </w:t>
      </w:r>
      <w:r w:rsidR="00827C07">
        <w:rPr>
          <w:rFonts w:ascii="Arial" w:eastAsia="Times New Roman" w:hAnsi="Arial" w:cs="Arial"/>
          <w:sz w:val="20"/>
          <w:szCs w:val="20"/>
        </w:rPr>
        <w:t xml:space="preserve">not </w:t>
      </w:r>
      <w:r w:rsidRPr="000B493F">
        <w:rPr>
          <w:rFonts w:ascii="Arial" w:eastAsia="Times New Roman" w:hAnsi="Arial" w:cs="Arial"/>
          <w:sz w:val="20"/>
          <w:szCs w:val="20"/>
        </w:rPr>
        <w:t xml:space="preserve">to respond to </w:t>
      </w:r>
      <w:r w:rsidR="00827C07">
        <w:rPr>
          <w:rFonts w:ascii="Arial" w:eastAsia="Times New Roman" w:hAnsi="Arial" w:cs="Arial"/>
          <w:sz w:val="20"/>
          <w:szCs w:val="20"/>
        </w:rPr>
        <w:t>these occurrences i</w:t>
      </w:r>
      <w:r w:rsidRPr="000B493F">
        <w:rPr>
          <w:rFonts w:ascii="Arial" w:eastAsia="Times New Roman" w:hAnsi="Arial" w:cs="Arial"/>
          <w:sz w:val="20"/>
          <w:szCs w:val="20"/>
        </w:rPr>
        <w:t>n accordance with the law.</w:t>
      </w:r>
    </w:p>
    <w:p w:rsidR="00762D04" w:rsidRPr="000B493F" w:rsidRDefault="00762D04" w:rsidP="000B493F">
      <w:pPr>
        <w:jc w:val="both"/>
        <w:rPr>
          <w:rFonts w:ascii="Arial" w:hAnsi="Arial" w:cs="Arial"/>
          <w:sz w:val="20"/>
          <w:szCs w:val="20"/>
        </w:rPr>
      </w:pPr>
      <w:bookmarkStart w:id="0" w:name="_GoBack"/>
      <w:bookmarkEnd w:id="0"/>
    </w:p>
    <w:sectPr w:rsidR="00762D04" w:rsidRPr="000B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3F"/>
    <w:rsid w:val="000B493F"/>
    <w:rsid w:val="00762D04"/>
    <w:rsid w:val="00827C07"/>
    <w:rsid w:val="00891117"/>
    <w:rsid w:val="00E6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C82F"/>
  <w15:chartTrackingRefBased/>
  <w15:docId w15:val="{C158BFB9-1B39-4784-BF55-9818A88F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4773">
      <w:bodyDiv w:val="1"/>
      <w:marLeft w:val="0"/>
      <w:marRight w:val="0"/>
      <w:marTop w:val="0"/>
      <w:marBottom w:val="0"/>
      <w:divBdr>
        <w:top w:val="none" w:sz="0" w:space="0" w:color="auto"/>
        <w:left w:val="none" w:sz="0" w:space="0" w:color="auto"/>
        <w:bottom w:val="none" w:sz="0" w:space="0" w:color="auto"/>
        <w:right w:val="none" w:sz="0" w:space="0" w:color="auto"/>
      </w:divBdr>
      <w:divsChild>
        <w:div w:id="595988381">
          <w:marLeft w:val="0"/>
          <w:marRight w:val="0"/>
          <w:marTop w:val="0"/>
          <w:marBottom w:val="0"/>
          <w:divBdr>
            <w:top w:val="none" w:sz="0" w:space="0" w:color="auto"/>
            <w:left w:val="none" w:sz="0" w:space="0" w:color="auto"/>
            <w:bottom w:val="none" w:sz="0" w:space="0" w:color="auto"/>
            <w:right w:val="none" w:sz="0" w:space="0" w:color="auto"/>
          </w:divBdr>
        </w:div>
        <w:div w:id="1985305472">
          <w:marLeft w:val="0"/>
          <w:marRight w:val="0"/>
          <w:marTop w:val="0"/>
          <w:marBottom w:val="0"/>
          <w:divBdr>
            <w:top w:val="none" w:sz="0" w:space="0" w:color="auto"/>
            <w:left w:val="none" w:sz="0" w:space="0" w:color="auto"/>
            <w:bottom w:val="none" w:sz="0" w:space="0" w:color="auto"/>
            <w:right w:val="none" w:sz="0" w:space="0" w:color="auto"/>
          </w:divBdr>
        </w:div>
        <w:div w:id="1845121596">
          <w:marLeft w:val="0"/>
          <w:marRight w:val="0"/>
          <w:marTop w:val="0"/>
          <w:marBottom w:val="0"/>
          <w:divBdr>
            <w:top w:val="none" w:sz="0" w:space="0" w:color="auto"/>
            <w:left w:val="none" w:sz="0" w:space="0" w:color="auto"/>
            <w:bottom w:val="none" w:sz="0" w:space="0" w:color="auto"/>
            <w:right w:val="none" w:sz="0" w:space="0" w:color="auto"/>
          </w:divBdr>
        </w:div>
        <w:div w:id="1824081784">
          <w:marLeft w:val="0"/>
          <w:marRight w:val="0"/>
          <w:marTop w:val="0"/>
          <w:marBottom w:val="0"/>
          <w:divBdr>
            <w:top w:val="none" w:sz="0" w:space="0" w:color="auto"/>
            <w:left w:val="none" w:sz="0" w:space="0" w:color="auto"/>
            <w:bottom w:val="none" w:sz="0" w:space="0" w:color="auto"/>
            <w:right w:val="none" w:sz="0" w:space="0" w:color="auto"/>
          </w:divBdr>
        </w:div>
        <w:div w:id="1517619484">
          <w:marLeft w:val="0"/>
          <w:marRight w:val="0"/>
          <w:marTop w:val="0"/>
          <w:marBottom w:val="0"/>
          <w:divBdr>
            <w:top w:val="none" w:sz="0" w:space="0" w:color="auto"/>
            <w:left w:val="none" w:sz="0" w:space="0" w:color="auto"/>
            <w:bottom w:val="none" w:sz="0" w:space="0" w:color="auto"/>
            <w:right w:val="none" w:sz="0" w:space="0" w:color="auto"/>
          </w:divBdr>
        </w:div>
        <w:div w:id="64229860">
          <w:marLeft w:val="0"/>
          <w:marRight w:val="0"/>
          <w:marTop w:val="0"/>
          <w:marBottom w:val="0"/>
          <w:divBdr>
            <w:top w:val="none" w:sz="0" w:space="0" w:color="auto"/>
            <w:left w:val="none" w:sz="0" w:space="0" w:color="auto"/>
            <w:bottom w:val="none" w:sz="0" w:space="0" w:color="auto"/>
            <w:right w:val="none" w:sz="0" w:space="0" w:color="auto"/>
          </w:divBdr>
        </w:div>
        <w:div w:id="1894343281">
          <w:marLeft w:val="0"/>
          <w:marRight w:val="0"/>
          <w:marTop w:val="0"/>
          <w:marBottom w:val="0"/>
          <w:divBdr>
            <w:top w:val="none" w:sz="0" w:space="0" w:color="auto"/>
            <w:left w:val="none" w:sz="0" w:space="0" w:color="auto"/>
            <w:bottom w:val="none" w:sz="0" w:space="0" w:color="auto"/>
            <w:right w:val="none" w:sz="0" w:space="0" w:color="auto"/>
          </w:divBdr>
        </w:div>
        <w:div w:id="928274086">
          <w:marLeft w:val="0"/>
          <w:marRight w:val="0"/>
          <w:marTop w:val="0"/>
          <w:marBottom w:val="0"/>
          <w:divBdr>
            <w:top w:val="none" w:sz="0" w:space="0" w:color="auto"/>
            <w:left w:val="none" w:sz="0" w:space="0" w:color="auto"/>
            <w:bottom w:val="none" w:sz="0" w:space="0" w:color="auto"/>
            <w:right w:val="none" w:sz="0" w:space="0" w:color="auto"/>
          </w:divBdr>
        </w:div>
        <w:div w:id="878975639">
          <w:marLeft w:val="0"/>
          <w:marRight w:val="0"/>
          <w:marTop w:val="0"/>
          <w:marBottom w:val="0"/>
          <w:divBdr>
            <w:top w:val="none" w:sz="0" w:space="0" w:color="auto"/>
            <w:left w:val="none" w:sz="0" w:space="0" w:color="auto"/>
            <w:bottom w:val="none" w:sz="0" w:space="0" w:color="auto"/>
            <w:right w:val="none" w:sz="0" w:space="0" w:color="auto"/>
          </w:divBdr>
        </w:div>
        <w:div w:id="89805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Slavkoski</dc:creator>
  <cp:keywords/>
  <dc:description/>
  <cp:lastModifiedBy>Mirjana Slavkoski</cp:lastModifiedBy>
  <cp:revision>2</cp:revision>
  <dcterms:created xsi:type="dcterms:W3CDTF">2025-03-19T09:01:00Z</dcterms:created>
  <dcterms:modified xsi:type="dcterms:W3CDTF">2025-03-19T09:24:00Z</dcterms:modified>
</cp:coreProperties>
</file>