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3F" w:rsidRDefault="00BE73D3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A4483F" w:rsidRDefault="00BE73D3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A4483F" w:rsidRPr="00C02778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Broj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4483F">
        <w:rPr>
          <w:rFonts w:ascii="Arial" w:eastAsia="Times New Roman" w:hAnsi="Arial" w:cs="Arial"/>
          <w:sz w:val="24"/>
          <w:szCs w:val="24"/>
          <w:lang w:val="ru-RU"/>
        </w:rPr>
        <w:t>06-2/224-20</w:t>
      </w:r>
    </w:p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26.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decembar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A4483F" w:rsidRPr="00B85C20" w:rsidRDefault="00BE73D3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A4483F" w:rsidRDefault="00A4483F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A4483F" w:rsidRDefault="00BE73D3" w:rsidP="00A4483F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Z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A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P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N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I</w:t>
      </w:r>
      <w:r w:rsidR="00A4483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K</w:t>
      </w:r>
    </w:p>
    <w:p w:rsidR="00A4483F" w:rsidRDefault="00BE73D3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DRUGE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POSEBNE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SEDNICE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NARODNE</w:t>
      </w:r>
    </w:p>
    <w:p w:rsidR="00A4483F" w:rsidRDefault="00BE73D3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SKUPŠTINE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REPUBLIKE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SRBIJE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U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DVANAESTOM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SAZIVU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</w:p>
    <w:p w:rsidR="00A4483F" w:rsidRDefault="00BE73D3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ODRŽANE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 w:rsidR="00A4483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26.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DECEMBRA</w:t>
      </w:r>
      <w:r w:rsidR="00A4483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2020</w:t>
      </w:r>
      <w:r w:rsidR="00A4483F">
        <w:rPr>
          <w:rFonts w:ascii="Arial" w:eastAsia="Times New Roman" w:hAnsi="Arial" w:cs="Arial"/>
          <w:b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GODINE</w:t>
      </w: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/>
        <w:jc w:val="center"/>
        <w:rPr>
          <w:rFonts w:ascii="Arial" w:eastAsia="Times New Roman" w:hAnsi="Arial" w:cs="Arial"/>
          <w:b/>
          <w:sz w:val="24"/>
          <w:szCs w:val="24"/>
          <w:lang w:val="ru-RU"/>
        </w:rPr>
      </w:pPr>
    </w:p>
    <w:p w:rsidR="00A4483F" w:rsidRDefault="00A4483F" w:rsidP="00A4483F">
      <w:pPr>
        <w:tabs>
          <w:tab w:val="left" w:pos="720"/>
          <w:tab w:val="left" w:pos="1800"/>
        </w:tabs>
        <w:spacing w:after="0" w:line="240" w:lineRule="auto"/>
        <w:ind w:right="-106" w:firstLine="144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</w:p>
    <w:p w:rsidR="00A4483F" w:rsidRDefault="00BE73D3" w:rsidP="002B5782">
      <w:pPr>
        <w:tabs>
          <w:tab w:val="left" w:pos="720"/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počela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483F">
        <w:rPr>
          <w:rFonts w:ascii="Arial" w:eastAsia="Times New Roman" w:hAnsi="Arial" w:cs="Arial"/>
          <w:sz w:val="24"/>
          <w:szCs w:val="24"/>
        </w:rPr>
        <w:t>1</w:t>
      </w:r>
      <w:r w:rsidR="00A4483F">
        <w:rPr>
          <w:rFonts w:ascii="Arial" w:eastAsia="Times New Roman" w:hAnsi="Arial" w:cs="Arial"/>
          <w:sz w:val="24"/>
          <w:szCs w:val="24"/>
          <w:lang w:val="sr-Cyrl-RS"/>
        </w:rPr>
        <w:t>0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A4483F" w:rsidRDefault="00BE73D3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predsedavao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Dačić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0F3CD6" w:rsidRDefault="00BE73D3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osnovu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službene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evidencije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prisutnosti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konstatovao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1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>07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A4483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primenom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elektronskog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sistema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glasanje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utvrđeno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4483F">
        <w:rPr>
          <w:rFonts w:ascii="Arial" w:eastAsia="Times New Roman" w:hAnsi="Arial" w:cs="Arial"/>
          <w:sz w:val="24"/>
          <w:szCs w:val="24"/>
        </w:rPr>
        <w:t>je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sali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</w:t>
      </w:r>
      <w:r w:rsidR="00A4483F">
        <w:rPr>
          <w:rFonts w:ascii="Arial" w:eastAsia="Times New Roman" w:hAnsi="Arial" w:cs="Arial"/>
          <w:sz w:val="24"/>
          <w:szCs w:val="24"/>
        </w:rPr>
        <w:t>o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>150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</w:t>
      </w:r>
      <w:r>
        <w:rPr>
          <w:rFonts w:ascii="Arial" w:eastAsia="Times New Roman" w:hAnsi="Arial" w:cs="Arial"/>
          <w:sz w:val="24"/>
          <w:szCs w:val="24"/>
          <w:lang w:val="sr-Cyrl-RS"/>
        </w:rPr>
        <w:t>ih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A4483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odnosno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prisutna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većina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ukupnog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broja</w:t>
      </w:r>
      <w:r w:rsidR="005258E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narodnih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postoje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uslovi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smislu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 xml:space="preserve"> 49. </w:t>
      </w:r>
      <w:r>
        <w:rPr>
          <w:rFonts w:ascii="Arial" w:eastAsia="Times New Roman" w:hAnsi="Arial" w:cs="Arial"/>
          <w:sz w:val="24"/>
          <w:szCs w:val="24"/>
          <w:lang w:val="ru-RU"/>
        </w:rPr>
        <w:t>Zakona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Narodnoj</w:t>
      </w:r>
      <w:r w:rsidR="000F3CD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skupštini</w:t>
      </w:r>
      <w:r w:rsidR="000F3CD6" w:rsidRPr="000F3CD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CA18F9" w:rsidRP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sprečeni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Justina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Pupin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Košćal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CA18F9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A18F9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Pr="00CA18F9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91A5D">
        <w:rPr>
          <w:rFonts w:ascii="Arial" w:eastAsia="Times New Roman" w:hAnsi="Arial" w:cs="Arial"/>
          <w:sz w:val="24"/>
          <w:szCs w:val="24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391A5D" w:rsidRPr="00995EA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Dragoljub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Acković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Arđend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Bojanić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Grahovac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Zukorlić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Mihailo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Jokić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79066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9066D">
        <w:rPr>
          <w:rFonts w:ascii="Arial" w:eastAsia="Times New Roman" w:hAnsi="Arial" w:cs="Arial"/>
          <w:sz w:val="24"/>
          <w:szCs w:val="24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Kondić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2D7D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Predrag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Mačužić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Puzić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Velibor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Milojičić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Mićin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Ljubo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Ranković</w:t>
      </w:r>
      <w:r w:rsidR="0078367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Jelica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Sretenović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Stambolić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Tasovac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C518AA" w:rsidRP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Arpad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Fremond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391A5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C518A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73D9D" w:rsidRDefault="00BE73D3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na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osnovu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člana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121,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vezi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članom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119.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6.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Dvanaestom</w:t>
      </w:r>
      <w:r w:rsidR="005258E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utvrdio</w:t>
      </w:r>
      <w:r w:rsidR="00B73D9D" w:rsidRPr="00B73D9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sledeći</w:t>
      </w:r>
    </w:p>
    <w:p w:rsidR="002B5782" w:rsidRPr="002B5782" w:rsidRDefault="002B5782" w:rsidP="002B5782">
      <w:pPr>
        <w:tabs>
          <w:tab w:val="left" w:pos="1728"/>
        </w:tabs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</w:rPr>
      </w:pPr>
    </w:p>
    <w:p w:rsidR="00F1624E" w:rsidRDefault="00F1624E" w:rsidP="002B5782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1624E" w:rsidRDefault="00F1624E" w:rsidP="00B73D9D">
      <w:pPr>
        <w:tabs>
          <w:tab w:val="left" w:pos="1728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73D9D" w:rsidRPr="002B5782" w:rsidRDefault="00BE73D3" w:rsidP="002B5782">
      <w:pPr>
        <w:tabs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ru-RU"/>
        </w:rPr>
        <w:t>D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e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v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n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i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r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e</w:t>
      </w:r>
      <w:r w:rsidR="00B73D9D" w:rsidRPr="00B73D9D">
        <w:rPr>
          <w:rFonts w:ascii="Arial" w:eastAsia="Times New Roman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>d</w:t>
      </w:r>
      <w:r w:rsidR="002B5782">
        <w:rPr>
          <w:rFonts w:ascii="Arial" w:eastAsia="Times New Roman" w:hAnsi="Arial" w:cs="Arial"/>
          <w:b/>
          <w:sz w:val="24"/>
          <w:szCs w:val="24"/>
          <w:lang w:val="ru-RU"/>
        </w:rPr>
        <w:t>:</w:t>
      </w:r>
    </w:p>
    <w:p w:rsidR="0021735C" w:rsidRDefault="0021735C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21735C">
        <w:rPr>
          <w:rFonts w:ascii="Arial" w:eastAsiaTheme="minorHAnsi" w:hAnsi="Arial" w:cs="Arial"/>
          <w:b/>
          <w:sz w:val="24"/>
          <w:szCs w:val="24"/>
          <w:lang w:val="sr-Cyrl-RS"/>
        </w:rPr>
        <w:lastRenderedPageBreak/>
        <w:t>1.</w:t>
      </w:r>
      <w:r w:rsidR="00F12CE7"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Redovan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Zaštitnik</w:t>
      </w:r>
      <w:r w:rsidR="000B53DD">
        <w:rPr>
          <w:rFonts w:ascii="Arial" w:eastAsiaTheme="minorHAnsi" w:hAnsi="Arial" w:cs="Arial"/>
          <w:sz w:val="24"/>
          <w:szCs w:val="24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građana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>
        <w:rPr>
          <w:rFonts w:ascii="Arial" w:eastAsiaTheme="minorHAnsi" w:hAnsi="Arial" w:cs="Arial"/>
          <w:sz w:val="24"/>
          <w:szCs w:val="24"/>
          <w:lang w:val="sr-Cyrl-RS"/>
        </w:rPr>
        <w:t>454/20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17.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0B53D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21735C" w:rsidRDefault="00F12CE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2.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sprovođenju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slobodnom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pristupu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informacijama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informacije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javnog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značaja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podataka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ličnosti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477/20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23.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79066D" w:rsidRPr="0079066D"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21735C" w:rsidRPr="00CA18F9" w:rsidRDefault="0036284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3.</w:t>
      </w:r>
      <w:r w:rsidR="00F12CE7"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Redovan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ravnopravnosti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441/20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13.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79066D" w:rsidRPr="0079066D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</w:p>
    <w:p w:rsidR="0021735C" w:rsidRPr="0030337F" w:rsidRDefault="00F12CE7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4.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radu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Državne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revizorske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institucije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>500/20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31.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21735C" w:rsidRPr="00CA18F9">
        <w:rPr>
          <w:rFonts w:ascii="Arial" w:eastAsiaTheme="minorHAnsi" w:hAnsi="Arial" w:cs="Arial"/>
          <w:sz w:val="24"/>
          <w:szCs w:val="24"/>
          <w:lang w:val="sr-Cyrl-RS"/>
        </w:rPr>
        <w:t>),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finansije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republički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budžet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kontrolu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trošenja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javnih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sredstava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23.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novembra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21735C">
        <w:rPr>
          <w:rFonts w:ascii="Arial" w:eastAsiaTheme="minorHAnsi" w:hAnsi="Arial" w:cs="Arial"/>
          <w:b/>
          <w:sz w:val="24"/>
          <w:szCs w:val="24"/>
          <w:lang w:val="sr-Cyrl-RS"/>
        </w:rPr>
        <w:t>.</w:t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="0021735C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</w:p>
    <w:p w:rsidR="00CA18F9" w:rsidRPr="00CA18F9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>
        <w:rPr>
          <w:rFonts w:ascii="Arial" w:eastAsiaTheme="minorHAnsi" w:hAnsi="Arial" w:cs="Arial"/>
          <w:sz w:val="24"/>
          <w:szCs w:val="24"/>
          <w:lang w:val="sr-Cyrl-RS"/>
        </w:rPr>
        <w:t>57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prisutnih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narodnih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, 1</w:t>
      </w:r>
      <w:r>
        <w:rPr>
          <w:rFonts w:ascii="Arial" w:eastAsiaTheme="minorHAnsi" w:hAnsi="Arial" w:cs="Arial"/>
          <w:sz w:val="24"/>
          <w:szCs w:val="24"/>
          <w:lang w:val="sr-Cyrl-RS"/>
        </w:rPr>
        <w:t>50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sedam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nije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prihvatila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dr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Aleksandra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Martinovića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obavi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:</w:t>
      </w:r>
    </w:p>
    <w:p w:rsidR="00CA18F9" w:rsidRPr="00CA18F9" w:rsidRDefault="00CA18F9" w:rsidP="00F70E68">
      <w:pPr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zajednički</w:t>
      </w:r>
      <w:r w:rsidRPr="00CA18F9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jedinstveni</w:t>
      </w:r>
      <w:r w:rsidRPr="00CA18F9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pretres</w:t>
      </w:r>
      <w:r w:rsidRPr="00CA18F9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CA18F9" w:rsidRDefault="00077144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Redovnom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godišnjem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Zaštitnik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građana</w:t>
      </w:r>
      <w:r w:rsidR="0021735C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454/20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17.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0F4AEA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</w:p>
    <w:p w:rsidR="00CA18F9" w:rsidRPr="00C5425E" w:rsidRDefault="00CA18F9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 w:rsidR="00077144"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sprovođenju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slobodnom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pristupu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informacijama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informacije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javnog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značaja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podataka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ličnosti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>
        <w:rPr>
          <w:rFonts w:ascii="Arial" w:eastAsiaTheme="minorHAnsi" w:hAnsi="Arial" w:cs="Arial"/>
          <w:sz w:val="24"/>
          <w:szCs w:val="24"/>
          <w:lang w:val="sr-Cyrl-RS"/>
        </w:rPr>
        <w:t>477/20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23.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C5425E" w:rsidRPr="00C5425E">
        <w:rPr>
          <w:rFonts w:ascii="Arial" w:eastAsiaTheme="minorHAnsi" w:hAnsi="Arial" w:cs="Arial"/>
          <w:sz w:val="24"/>
          <w:szCs w:val="24"/>
        </w:rPr>
        <w:t>,</w:t>
      </w:r>
    </w:p>
    <w:p w:rsidR="00CA18F9" w:rsidRPr="00CA18F9" w:rsidRDefault="00077144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Redovnom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godišnjem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Poverenik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ravnopravnosti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441/20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 xml:space="preserve">13.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>)</w:t>
      </w:r>
      <w:r w:rsidR="00CA18F9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CA18F9"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CA18F9"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</w:p>
    <w:p w:rsidR="00CA18F9" w:rsidRDefault="00CA18F9" w:rsidP="002B5782">
      <w:pPr>
        <w:tabs>
          <w:tab w:val="left" w:pos="1701"/>
        </w:tabs>
        <w:spacing w:before="120" w:after="120" w:line="240" w:lineRule="auto"/>
        <w:ind w:right="-90"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lang w:val="sr-Cyrl-RS"/>
        </w:rPr>
        <w:t>-</w:t>
      </w:r>
      <w:r w:rsidR="00077144"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radu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revizorske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institucije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02-</w:t>
      </w:r>
      <w:r>
        <w:rPr>
          <w:rFonts w:ascii="Arial" w:eastAsiaTheme="minorHAnsi" w:hAnsi="Arial" w:cs="Arial"/>
          <w:sz w:val="24"/>
          <w:szCs w:val="24"/>
          <w:lang w:val="sr-Cyrl-RS"/>
        </w:rPr>
        <w:t>500/20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31.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marta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CA18F9">
        <w:rPr>
          <w:rFonts w:ascii="Arial" w:eastAsiaTheme="minorHAnsi" w:hAnsi="Arial" w:cs="Arial"/>
          <w:sz w:val="24"/>
          <w:szCs w:val="24"/>
          <w:lang w:val="sr-Cyrl-RS"/>
        </w:rPr>
        <w:t>),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finansije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republički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budžet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kontrolu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trošenja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javnih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sredstava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23.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novembra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Pr="00C5425E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  <w:r w:rsidRPr="00CA18F9">
        <w:rPr>
          <w:rFonts w:ascii="Arial" w:eastAsiaTheme="minorHAnsi" w:hAnsi="Arial" w:cs="Arial"/>
          <w:b/>
          <w:sz w:val="24"/>
          <w:szCs w:val="24"/>
          <w:lang w:val="sr-Cyrl-RS"/>
        </w:rPr>
        <w:tab/>
      </w:r>
    </w:p>
    <w:p w:rsidR="00F1624E" w:rsidRDefault="00CA18F9" w:rsidP="002B5782">
      <w:pPr>
        <w:spacing w:before="120" w:after="120" w:line="240" w:lineRule="auto"/>
        <w:ind w:right="-90" w:firstLine="7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21735C" w:rsidRDefault="00BE73D3" w:rsidP="00F1624E">
      <w:pPr>
        <w:spacing w:before="120" w:after="120" w:line="240" w:lineRule="auto"/>
        <w:ind w:right="-90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42F13">
        <w:rPr>
          <w:rFonts w:ascii="Arial" w:hAnsi="Arial" w:cs="Arial"/>
          <w:sz w:val="24"/>
          <w:szCs w:val="24"/>
          <w:lang w:val="sr-Cyrl-RS"/>
        </w:rPr>
        <w:t>,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496D55" w:rsidRPr="00496D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496D5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362847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2B5782">
        <w:rPr>
          <w:rFonts w:ascii="Arial" w:hAnsi="Arial" w:cs="Arial"/>
          <w:sz w:val="24"/>
          <w:szCs w:val="24"/>
          <w:lang w:val="sr-Cyrl-RS"/>
        </w:rPr>
        <w:t>:</w:t>
      </w:r>
      <w:r w:rsidR="00362847" w:rsidRPr="00362847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Milan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Zaštitnika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Bojanić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Dimitrijević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Milinković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Gordana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Mohorović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pomoćnici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podataka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Prijić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Poverenika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362847" w:rsidRPr="00362847">
        <w:rPr>
          <w:rFonts w:ascii="Arial" w:hAnsi="Arial" w:cs="Arial"/>
          <w:sz w:val="24"/>
          <w:szCs w:val="24"/>
          <w:lang w:val="sr-Cyrl-RS"/>
        </w:rPr>
        <w:t>.</w:t>
      </w:r>
    </w:p>
    <w:p w:rsidR="00237B0D" w:rsidRDefault="00C843D8" w:rsidP="00F70E68">
      <w:pPr>
        <w:spacing w:before="120" w:after="120" w:line="240" w:lineRule="auto"/>
        <w:ind w:right="-91" w:firstLine="1418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BE73D3">
        <w:rPr>
          <w:rFonts w:ascii="Arial" w:hAnsi="Arial" w:cs="Arial"/>
          <w:sz w:val="24"/>
          <w:szCs w:val="24"/>
          <w:lang w:val="sr-Cyrl-RS"/>
        </w:rPr>
        <w:t>Zatim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skupština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prešla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rad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utvrđenom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dnevnom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redu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odnosno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</w:t>
      </w:r>
      <w:r w:rsidR="00E04EB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237B0D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237B0D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237B0D" w:rsidRPr="001A32E2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od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1.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do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4.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237B0D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237B0D" w:rsidRPr="00683BF9">
        <w:rPr>
          <w:rFonts w:ascii="Arial" w:hAnsi="Arial" w:cs="Arial"/>
          <w:sz w:val="24"/>
          <w:szCs w:val="24"/>
          <w:lang w:val="sr-Cyrl-RS"/>
        </w:rPr>
        <w:t>.</w:t>
      </w:r>
    </w:p>
    <w:p w:rsidR="00237B0D" w:rsidRDefault="00BE73D3" w:rsidP="00F70E68">
      <w:pPr>
        <w:spacing w:before="120" w:after="120" w:line="240" w:lineRule="auto"/>
        <w:ind w:right="-91" w:firstLine="144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>
        <w:rPr>
          <w:rFonts w:ascii="Arial" w:hAnsi="Arial" w:cs="Arial"/>
          <w:sz w:val="24"/>
          <w:szCs w:val="24"/>
        </w:rPr>
        <w:t>,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eastAsiaTheme="minorHAnsi" w:hAnsi="Arial" w:cs="Arial"/>
          <w:sz w:val="24"/>
          <w:szCs w:val="24"/>
          <w:lang w:val="sr-Cyrl-RS"/>
        </w:rPr>
        <w:t>aglasno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čl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Theme="minorHAnsi" w:hAnsi="Arial" w:cs="Arial"/>
          <w:sz w:val="24"/>
          <w:szCs w:val="24"/>
          <w:lang w:val="sr-Cyrl-RS"/>
        </w:rPr>
        <w:t>stav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4, </w:t>
      </w:r>
      <w:r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shodno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članu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Theme="minorHAnsi" w:hAnsi="Arial" w:cs="Arial"/>
          <w:sz w:val="24"/>
          <w:szCs w:val="24"/>
          <w:lang w:val="sr-Cyrl-RS"/>
        </w:rPr>
        <w:t>stav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Theme="minorHAnsi" w:hAnsi="Arial" w:cs="Arial"/>
          <w:sz w:val="24"/>
          <w:szCs w:val="24"/>
          <w:lang w:val="sr-Cyrl-RS"/>
        </w:rPr>
        <w:t>Poslovnika</w:t>
      </w:r>
      <w:r w:rsidR="00237B0D" w:rsidRPr="00C843D8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otv</w:t>
      </w:r>
      <w:r w:rsidR="00A721DA">
        <w:rPr>
          <w:rFonts w:ascii="Arial" w:eastAsiaTheme="minorHAnsi" w:hAnsi="Arial" w:cs="Arial"/>
          <w:b/>
          <w:sz w:val="24"/>
          <w:szCs w:val="24"/>
          <w:u w:val="single"/>
        </w:rPr>
        <w:t>o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rio</w:t>
      </w:r>
      <w:r w:rsidR="00237B0D" w:rsidRPr="00712814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zajednički</w:t>
      </w:r>
      <w:r w:rsidR="00237B0D" w:rsidRPr="00712814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jedinstveni</w:t>
      </w:r>
      <w:r w:rsidR="00237B0D" w:rsidRPr="00712814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pretres</w:t>
      </w:r>
      <w:r w:rsidR="00237B0D" w:rsidRPr="00712814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o</w:t>
      </w:r>
      <w:r w:rsidR="00237B0D">
        <w:rPr>
          <w:rFonts w:ascii="Arial" w:eastAsiaTheme="minorHAnsi" w:hAnsi="Arial" w:cs="Arial"/>
          <w:sz w:val="24"/>
          <w:szCs w:val="24"/>
        </w:rPr>
        <w:t>:</w:t>
      </w:r>
    </w:p>
    <w:p w:rsidR="00237B0D" w:rsidRPr="008D293C" w:rsidRDefault="00237B0D" w:rsidP="00F70E68">
      <w:pPr>
        <w:tabs>
          <w:tab w:val="left" w:pos="1701"/>
        </w:tabs>
        <w:spacing w:before="120" w:after="120" w:line="240" w:lineRule="auto"/>
        <w:ind w:right="-91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8D293C">
        <w:rPr>
          <w:rFonts w:ascii="Arial" w:eastAsiaTheme="minorHAnsi" w:hAnsi="Arial" w:cs="Arial"/>
          <w:b/>
          <w:sz w:val="24"/>
          <w:szCs w:val="24"/>
        </w:rPr>
        <w:t>-</w:t>
      </w:r>
      <w:r w:rsidR="001D2535"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Redovnom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godišnjem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Zaštitnik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građana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</w:p>
    <w:p w:rsidR="00237B0D" w:rsidRPr="008D293C" w:rsidRDefault="001D2535" w:rsidP="001D2535">
      <w:pPr>
        <w:tabs>
          <w:tab w:val="left" w:pos="1701"/>
        </w:tabs>
        <w:spacing w:before="120" w:after="120" w:line="240" w:lineRule="auto"/>
        <w:ind w:right="-90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sprovođenju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slobodnom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pristupu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informacijama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Poverenik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</w:p>
    <w:p w:rsidR="00237B0D" w:rsidRPr="008D293C" w:rsidRDefault="001D2535" w:rsidP="001D2535">
      <w:pPr>
        <w:tabs>
          <w:tab w:val="left" w:pos="1701"/>
        </w:tabs>
        <w:spacing w:before="120" w:after="120" w:line="240" w:lineRule="auto"/>
        <w:ind w:right="-90" w:firstLine="1440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Redovnom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godišnjem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Poverenik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</w:p>
    <w:p w:rsidR="00237B0D" w:rsidRDefault="001D2535" w:rsidP="00F70E68">
      <w:pPr>
        <w:tabs>
          <w:tab w:val="left" w:pos="1701"/>
        </w:tabs>
        <w:spacing w:after="120" w:line="240" w:lineRule="auto"/>
        <w:ind w:right="-90" w:firstLine="144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</w:rPr>
        <w:t>-</w:t>
      </w:r>
      <w:r>
        <w:rPr>
          <w:rFonts w:ascii="Arial" w:eastAsiaTheme="minorHAnsi" w:hAnsi="Arial" w:cs="Arial"/>
          <w:b/>
          <w:sz w:val="24"/>
          <w:szCs w:val="24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radu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revizorske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institucije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237B0D"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finansije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republički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budžet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kontrolu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trošenja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javnih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sredstava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23.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novembra</w:t>
      </w:r>
      <w:r w:rsidR="00237B0D" w:rsidRPr="008D293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F70E68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F70E68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</w:p>
    <w:p w:rsidR="00237B0D" w:rsidRDefault="00BE73D3" w:rsidP="00F70E6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>:</w:t>
      </w:r>
      <w:r w:rsidR="00237B0D" w:rsidRPr="008C3A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237B0D">
        <w:rPr>
          <w:rFonts w:ascii="Arial" w:hAnsi="Arial" w:cs="Arial"/>
          <w:sz w:val="24"/>
          <w:szCs w:val="24"/>
          <w:lang w:val="sr-Cyrl-RS"/>
        </w:rPr>
        <w:t>,</w:t>
      </w:r>
      <w:r w:rsidR="00237B0D" w:rsidRPr="000F7D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7B0D" w:rsidRPr="000F7D3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finansije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republički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budžet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kontrolu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trošenja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javnih</w:t>
      </w:r>
      <w:r w:rsidR="00237B0D" w:rsidRPr="000F7D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sredstava</w:t>
      </w:r>
      <w:r w:rsidR="00237B0D">
        <w:rPr>
          <w:rFonts w:ascii="Arial" w:eastAsiaTheme="minorHAnsi" w:hAnsi="Arial" w:cs="Arial"/>
          <w:sz w:val="24"/>
          <w:szCs w:val="24"/>
        </w:rPr>
        <w:t>,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dr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Muamer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Bačevac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izvestilac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Odbora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ljudska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manjinska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prava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ravnopravnost</w:t>
      </w:r>
      <w:r w:rsidR="00237B0D" w:rsidRPr="00703F3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polova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>,</w:t>
      </w:r>
      <w:r w:rsidR="00237B0D" w:rsidRPr="001A32E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37B0D" w:rsidRPr="00C360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7B0D" w:rsidRPr="00C3602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7B0D" w:rsidRPr="00C360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7B0D" w:rsidRPr="00C360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7B0D" w:rsidRPr="00C3602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JS</w:t>
      </w:r>
      <w:r w:rsidR="00237B0D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revizorske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institucije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37B0D" w:rsidRPr="001D0B84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Zaštitnik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građana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96.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Brankica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ravnopravnosti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37B0D" w:rsidRPr="00B4511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predstavnici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Poverenik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informacije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javnog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značaja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zaštitu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podataka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ličnosti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Samir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Tandir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>“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DOLINA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SDA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SANDžAKA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631F99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237B0D">
        <w:rPr>
          <w:rFonts w:ascii="Arial" w:hAnsi="Arial" w:cs="Arial"/>
          <w:sz w:val="24"/>
          <w:szCs w:val="24"/>
          <w:lang w:val="sr-Cyrl-RS"/>
        </w:rPr>
        <w:t>,</w:t>
      </w:r>
      <w:r w:rsidR="00237B0D"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odredila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237B0D">
        <w:rPr>
          <w:rFonts w:ascii="Arial" w:hAnsi="Arial" w:cs="Arial"/>
          <w:sz w:val="24"/>
          <w:szCs w:val="24"/>
          <w:lang w:val="sr-Cyrl-RS"/>
        </w:rPr>
        <w:t>.</w:t>
      </w:r>
    </w:p>
    <w:p w:rsidR="00237B0D" w:rsidRPr="00FD5B2A" w:rsidRDefault="00BE73D3" w:rsidP="00F70E68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37B0D">
        <w:rPr>
          <w:rFonts w:ascii="Arial" w:hAnsi="Arial" w:cs="Arial"/>
          <w:sz w:val="24"/>
          <w:szCs w:val="24"/>
          <w:lang w:val="sr-Cyrl-RS"/>
        </w:rPr>
        <w:t>10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237B0D" w:rsidRPr="00FD5B2A">
        <w:rPr>
          <w:rFonts w:ascii="Arial" w:hAnsi="Arial" w:cs="Arial"/>
          <w:sz w:val="24"/>
          <w:szCs w:val="24"/>
          <w:lang w:val="sr-Cyrl-RS"/>
        </w:rPr>
        <w:t>.</w:t>
      </w:r>
    </w:p>
    <w:p w:rsidR="00237B0D" w:rsidRDefault="00237B0D" w:rsidP="00F70E68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BE73D3">
        <w:rPr>
          <w:rFonts w:ascii="Arial" w:hAnsi="Arial" w:cs="Arial"/>
          <w:sz w:val="24"/>
          <w:szCs w:val="24"/>
          <w:lang w:val="sr-Cyrl-RS"/>
        </w:rPr>
        <w:t>U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nastavku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zajedničkog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jedinstvenog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pretresa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učestvovali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su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narodni</w:t>
      </w:r>
      <w:r w:rsidRPr="00FD5B2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poslanici</w:t>
      </w:r>
      <w:r w:rsidRPr="00FD5B2A">
        <w:rPr>
          <w:rFonts w:ascii="Arial" w:hAnsi="Arial" w:cs="Arial"/>
          <w:sz w:val="24"/>
          <w:szCs w:val="24"/>
          <w:lang w:val="sr-Cyrl-RS"/>
        </w:rPr>
        <w:t>: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Muamer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Bačevac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631F9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predstavnik</w:t>
      </w:r>
      <w:r w:rsidRPr="00DE7D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Poslaničke</w:t>
      </w:r>
      <w:r w:rsidRPr="00DE7D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grupe</w:t>
      </w:r>
      <w:r w:rsidRPr="00DE7D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Socijaldemokratska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partija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Srbije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čijeg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izlaganja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reč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javila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predstavnik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predlagača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Brankica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Janković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hAnsi="Arial" w:cs="Arial"/>
          <w:sz w:val="24"/>
          <w:szCs w:val="24"/>
          <w:lang w:val="sr-Cyrl-RS"/>
        </w:rPr>
        <w:t>Đorđe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Milićević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predsednik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Poslaničke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grupe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SOCIJALISTIČKA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PARTIJA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SRBIJE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hAnsi="Arial" w:cs="Arial"/>
          <w:sz w:val="24"/>
          <w:szCs w:val="24"/>
          <w:lang w:val="sr-Cyrl-RS"/>
        </w:rPr>
        <w:t>SPS</w:t>
      </w:r>
      <w:r w:rsidRPr="000E1961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Nebojša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Bakarec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predstavnik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Poslaničke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grupe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BE73D3">
        <w:rPr>
          <w:rFonts w:ascii="Arial" w:hAnsi="Arial" w:cs="Arial"/>
          <w:sz w:val="24"/>
          <w:szCs w:val="24"/>
          <w:lang w:val="sr-Cyrl-RS"/>
        </w:rPr>
        <w:t>Aleksandar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Vučić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- </w:t>
      </w:r>
      <w:r w:rsidR="00BE73D3">
        <w:rPr>
          <w:rFonts w:ascii="Arial" w:hAnsi="Arial" w:cs="Arial"/>
          <w:sz w:val="24"/>
          <w:szCs w:val="24"/>
          <w:lang w:val="sr-Cyrl-RS"/>
        </w:rPr>
        <w:t>za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našu</w:t>
      </w:r>
      <w:r w:rsidRPr="000E19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decu</w:t>
      </w:r>
      <w:r w:rsidRPr="000E1961">
        <w:rPr>
          <w:rFonts w:ascii="Arial" w:hAnsi="Arial" w:cs="Arial"/>
          <w:sz w:val="24"/>
          <w:szCs w:val="24"/>
          <w:lang w:val="sr-Cyrl-RS"/>
        </w:rPr>
        <w:t>“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Misala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Pramenković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Jasmina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Karanac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Rozalija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Ekres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Dijana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Radović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Đorđe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Komlenski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Samira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Ćosović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Uglješa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Marković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Rističević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hAnsi="Arial" w:cs="Arial"/>
          <w:sz w:val="24"/>
          <w:szCs w:val="24"/>
          <w:lang w:val="sr-Cyrl-RS"/>
        </w:rPr>
        <w:t>potom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Marijan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Rističević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ukazao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povredu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člana</w:t>
      </w:r>
      <w:r>
        <w:rPr>
          <w:rFonts w:ascii="Arial" w:hAnsi="Arial" w:cs="Arial"/>
          <w:sz w:val="24"/>
          <w:szCs w:val="24"/>
          <w:lang w:val="sr-Cyrl-RS"/>
        </w:rPr>
        <w:t xml:space="preserve"> 103, </w:t>
      </w:r>
      <w:r w:rsidR="00BE73D3">
        <w:rPr>
          <w:rFonts w:ascii="Arial" w:hAnsi="Arial" w:cs="Arial"/>
          <w:sz w:val="24"/>
          <w:szCs w:val="24"/>
          <w:lang w:val="sr-Cyrl-RS"/>
        </w:rPr>
        <w:t>a</w:t>
      </w:r>
      <w:r w:rsidR="00966C5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vezi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članom</w:t>
      </w:r>
      <w:r>
        <w:rPr>
          <w:rFonts w:ascii="Arial" w:hAnsi="Arial" w:cs="Arial"/>
          <w:sz w:val="24"/>
          <w:szCs w:val="24"/>
          <w:lang w:val="sr-Cyrl-RS"/>
        </w:rPr>
        <w:t xml:space="preserve"> 96. </w:t>
      </w:r>
      <w:r w:rsidR="00BE73D3">
        <w:rPr>
          <w:rFonts w:ascii="Arial" w:hAnsi="Arial" w:cs="Arial"/>
          <w:sz w:val="24"/>
          <w:szCs w:val="24"/>
          <w:lang w:val="sr-Cyrl-RS"/>
        </w:rPr>
        <w:t>Poslovnika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predsedavajuća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Elvira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Kovač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potpredsednik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skupštine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dala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objašnjenje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hAnsi="Arial" w:cs="Arial"/>
          <w:sz w:val="24"/>
          <w:szCs w:val="24"/>
          <w:lang w:val="sr-Cyrl-RS"/>
        </w:rPr>
        <w:t>Nina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Pavićević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Ljiljana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Malušić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Dubravka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Kralj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Veroljub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Matić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Vojislav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Vujić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hAnsi="Arial" w:cs="Arial"/>
          <w:sz w:val="24"/>
          <w:szCs w:val="24"/>
          <w:lang w:val="sr-Cyrl-RS"/>
        </w:rPr>
        <w:t>nakon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što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replike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razmenili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poslanici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Veroljub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Arsić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Vojislav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Vujić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povredu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člana</w:t>
      </w:r>
      <w:r>
        <w:rPr>
          <w:rFonts w:ascii="Arial" w:hAnsi="Arial" w:cs="Arial"/>
          <w:sz w:val="24"/>
          <w:szCs w:val="24"/>
          <w:lang w:val="sr-Cyrl-RS"/>
        </w:rPr>
        <w:t xml:space="preserve"> 106. </w:t>
      </w:r>
      <w:r w:rsidR="00BE73D3">
        <w:rPr>
          <w:rFonts w:ascii="Arial" w:hAnsi="Arial" w:cs="Arial"/>
          <w:sz w:val="24"/>
          <w:szCs w:val="24"/>
          <w:lang w:val="sr-Cyrl-RS"/>
        </w:rPr>
        <w:t>Poslovnika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ukazao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narodni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poslanik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Vojislav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Vujić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predsedavajuća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dala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objašnjenje</w:t>
      </w:r>
      <w:r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hAnsi="Arial" w:cs="Arial"/>
          <w:sz w:val="24"/>
          <w:szCs w:val="24"/>
          <w:lang w:val="sr-Cyrl-RS"/>
        </w:rPr>
        <w:t>Jelena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Žarić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Kovačević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Sandra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hAnsi="Arial" w:cs="Arial"/>
          <w:sz w:val="24"/>
          <w:szCs w:val="24"/>
          <w:lang w:val="sr-Cyrl-RS"/>
        </w:rPr>
        <w:t>Joković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135B97" w:rsidRPr="00223783" w:rsidRDefault="00BE73D3" w:rsidP="002B5782">
      <w:pPr>
        <w:spacing w:before="120" w:after="120" w:line="240" w:lineRule="auto"/>
        <w:ind w:right="-90"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predstavnika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Milana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Marinovića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Brankice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Pašalića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9066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Duška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Pejovića</w:t>
      </w:r>
      <w:r w:rsidR="00237B0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predsednik</w:t>
      </w:r>
      <w:r w:rsidR="0079066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zaključio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zajednički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jedinstveni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pretres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predlozima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akata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iz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tačka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1. </w:t>
      </w:r>
      <w:r>
        <w:rPr>
          <w:rFonts w:ascii="Arial" w:eastAsiaTheme="minorHAnsi" w:hAnsi="Arial" w:cs="Arial"/>
          <w:sz w:val="24"/>
          <w:szCs w:val="24"/>
          <w:lang w:val="sr-Cyrl-RS"/>
        </w:rPr>
        <w:t>do</w:t>
      </w:r>
      <w:r w:rsidR="00237B0D">
        <w:rPr>
          <w:rFonts w:ascii="Arial" w:eastAsiaTheme="minorHAnsi" w:hAnsi="Arial" w:cs="Arial"/>
          <w:sz w:val="24"/>
          <w:szCs w:val="24"/>
          <w:lang w:val="sr-Cyrl-RS"/>
        </w:rPr>
        <w:t xml:space="preserve"> 4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Theme="minorHAnsi" w:hAnsi="Arial" w:cs="Arial"/>
          <w:sz w:val="24"/>
          <w:szCs w:val="24"/>
          <w:lang w:val="sr-Cyrl-RS"/>
        </w:rPr>
        <w:t>dnevnog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reda</w:t>
      </w:r>
      <w:r w:rsidR="00237B0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. 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</w:p>
    <w:p w:rsidR="00135B97" w:rsidRPr="00135B97" w:rsidRDefault="00135B97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        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Predsednik</w:t>
      </w:r>
      <w:r w:rsidR="001449B5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saglasno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članu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87.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stav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5.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Poslovnika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odredio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subotu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, 2</w:t>
      </w:r>
      <w:r>
        <w:rPr>
          <w:rFonts w:ascii="Arial" w:eastAsiaTheme="minorHAnsi" w:hAnsi="Arial" w:cs="Arial"/>
          <w:sz w:val="24"/>
          <w:szCs w:val="24"/>
          <w:lang w:val="sr-Cyrl-RS"/>
        </w:rPr>
        <w:t>6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decembar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početkom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>
        <w:rPr>
          <w:rFonts w:ascii="Arial" w:eastAsiaTheme="minorHAnsi" w:hAnsi="Arial" w:cs="Arial"/>
          <w:sz w:val="24"/>
          <w:szCs w:val="24"/>
          <w:lang w:val="sr-Cyrl-RS"/>
        </w:rPr>
        <w:t>9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časova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0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minuta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kao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Dan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glasanje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tačkama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dnevnog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reda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Druge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posebne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sednice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Republike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Srbije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Dvanaestom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sazivu</w:t>
      </w:r>
      <w:r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237B0D" w:rsidRDefault="00135B97" w:rsidP="00F70E68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135B97"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Primenom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elektronskog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sistema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glasanje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utvrđeno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sali</w:t>
      </w:r>
      <w:r w:rsid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prisutno</w:t>
      </w:r>
      <w:r w:rsidR="00605C93" w:rsidRPr="00605C93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605C93" w:rsidRPr="00223783">
        <w:rPr>
          <w:rFonts w:ascii="Arial" w:eastAsiaTheme="minorHAnsi" w:hAnsi="Arial" w:cs="Arial"/>
          <w:sz w:val="24"/>
          <w:szCs w:val="24"/>
          <w:lang w:val="sr-Cyrl-RS"/>
        </w:rPr>
        <w:t>180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narodnih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odnosno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ukupnog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broja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narodnih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postoje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uslovi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odlučivanje</w:t>
      </w:r>
      <w:r w:rsidR="00605C93" w:rsidRPr="00605C93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135B97" w:rsidRDefault="00BE73D3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Zatim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prešla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na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odlučivanje</w:t>
      </w:r>
      <w:r w:rsidR="00135B97" w:rsidRPr="00135B97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F70E68" w:rsidRPr="00F70E68" w:rsidRDefault="00F70E68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</w:rPr>
      </w:pPr>
    </w:p>
    <w:p w:rsidR="0079019D" w:rsidRPr="00973CC0" w:rsidRDefault="001C0E1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1.</w:t>
      </w:r>
      <w:r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tačka</w:t>
      </w:r>
      <w:r w:rsidR="0079019D" w:rsidRPr="00135B97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dnevnog</w:t>
      </w:r>
      <w:r w:rsidR="0079019D" w:rsidRPr="00135B97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reda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REDOVAN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ZAŠTITNIK</w:t>
      </w:r>
      <w:r w:rsidR="0079019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GRAĐANA</w:t>
      </w:r>
      <w:r w:rsidR="0079019D"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79019D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="0079019D"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, 1</w:t>
      </w:r>
      <w:r>
        <w:rPr>
          <w:rFonts w:ascii="Arial" w:eastAsiaTheme="minorHAnsi" w:hAnsi="Arial" w:cs="Arial"/>
          <w:sz w:val="24"/>
          <w:szCs w:val="24"/>
          <w:lang w:val="sr-Cyrl-RS"/>
        </w:rPr>
        <w:t>78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tri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nisu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usvojila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zaključka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povodom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razmatranja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Redovnog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godišnjeg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izveštaja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Zaštitnika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građana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Odbor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pravosuđe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državnu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upravu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lokalnu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samoupravu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lastRenderedPageBreak/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>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181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prisutnog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, 178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tri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nisu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usvojila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zaključka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povodom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razmatranja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Redovnog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godišnjeg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izveštaja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Zaštitnika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građana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Odbor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ljudska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manjinska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prava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ravnopravnost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polova</w:t>
      </w:r>
      <w:r w:rsidRPr="00973CC0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17.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79019D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2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tačka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dnevnog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reda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SPROVOĐENjU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SLOBODNOM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PRISTUPU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INFORMACIJAMA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ZAKONA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POVERENIK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INFORMACIJE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JAVNOG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ZNAČAJA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PODATAKA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LIČNOSTI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PRAVOSUĐE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UPRAVU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LOKALNU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SAMOUPRAVU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 w:rsidRPr="00973CC0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</w:p>
    <w:p w:rsidR="0079019D" w:rsidRPr="003C3A19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, 1</w:t>
      </w:r>
      <w:r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jedan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nije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usvojila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zaključka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povodom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razmatranja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Izveštaja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sprovođenju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Zakona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slobodnom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pristupu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informacijama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javnog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značaja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Zakona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zaštiti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podataka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ličnosti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Odbor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pravosuđe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državnu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upravu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lokalnu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samoupravu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16.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decembra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79019D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3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tačka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dnevnog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reda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REDOVAN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GODIŠNjI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KOJI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JE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PODNEO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POVERENIK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ZAŠTITU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RAVNOPRAVNOSTI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LjUDSKA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MANjINSKA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PRAVA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RAVNOPRAVNOST</w:t>
      </w:r>
      <w:r w:rsidRPr="00AA54BC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POLOVA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DECEMBRA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</w:p>
    <w:p w:rsidR="0079019D" w:rsidRDefault="0079019D" w:rsidP="002B5782">
      <w:pPr>
        <w:spacing w:before="120"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ab/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prisutnog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>, 1</w:t>
      </w:r>
      <w:r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jedan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nije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glasao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usvojila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zaključka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povodom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razmatranja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Redovnog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godišnjeg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izveštaja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Poverenika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zaštitu</w:t>
      </w:r>
      <w:r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ravnopravnosti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godinu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Odbor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ljudska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manjinska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prava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ravnopravnost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polova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17.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decembra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Pr="00162D2F">
        <w:rPr>
          <w:rFonts w:ascii="Arial" w:eastAsiaTheme="minorHAnsi" w:hAnsi="Arial" w:cs="Arial"/>
          <w:sz w:val="24"/>
          <w:szCs w:val="24"/>
          <w:lang w:val="sr-Cyrl-RS"/>
        </w:rPr>
        <w:t>.</w:t>
      </w:r>
    </w:p>
    <w:p w:rsidR="00DA1D86" w:rsidRDefault="00DA1D8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DA1D86" w:rsidRDefault="00DA1D86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F70E68" w:rsidRPr="00F70E68" w:rsidRDefault="00F70E68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</w:rPr>
      </w:pPr>
    </w:p>
    <w:p w:rsidR="00DA1D86" w:rsidRDefault="00DA1D86" w:rsidP="001C0E1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DA1D86" w:rsidRDefault="00DA1D86" w:rsidP="001C0E16">
      <w:pPr>
        <w:tabs>
          <w:tab w:val="left" w:pos="1701"/>
        </w:tabs>
        <w:spacing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</w:pPr>
    </w:p>
    <w:p w:rsidR="001C0E16" w:rsidRPr="00DA1D86" w:rsidRDefault="0079019D" w:rsidP="002B5782">
      <w:pPr>
        <w:tabs>
          <w:tab w:val="left" w:pos="1701"/>
        </w:tabs>
        <w:spacing w:before="120" w:after="120" w:line="240" w:lineRule="auto"/>
        <w:ind w:firstLine="1418"/>
        <w:jc w:val="both"/>
        <w:rPr>
          <w:rFonts w:ascii="Arial" w:eastAsiaTheme="minorHAnsi" w:hAnsi="Arial" w:cs="Arial"/>
          <w:b/>
          <w:sz w:val="24"/>
          <w:szCs w:val="24"/>
          <w:lang w:val="sr-Cyrl-RS"/>
        </w:rPr>
      </w:pP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4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.</w:t>
      </w:r>
      <w:r w:rsidR="001C0E16">
        <w:rPr>
          <w:rFonts w:ascii="Arial" w:eastAsiaTheme="minorHAnsi" w:hAnsi="Arial" w:cs="Arial"/>
          <w:b/>
          <w:sz w:val="24"/>
          <w:szCs w:val="24"/>
          <w:u w:val="single"/>
        </w:rPr>
        <w:tab/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tačka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dnevnog</w:t>
      </w:r>
      <w:r w:rsidRPr="001C0E16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u w:val="single"/>
          <w:lang w:val="sr-Cyrl-RS"/>
        </w:rPr>
        <w:t>reda</w:t>
      </w:r>
      <w:r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–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IZVEŠTAJ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RADU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DRŽAVNE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REVIZORSKE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INSTITUCIJE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2019.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GODINU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>,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SA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PREDLOGOM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ZAKLjUČKA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ODBORA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ZA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FINANSIJE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,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REPUBLIČKI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BUDžET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I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KONTROLU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TROŠENjA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JAVNIH</w:t>
      </w:r>
      <w:r w:rsidRPr="00162D2F"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SREDSTAVA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OD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23.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NOVEMBRA</w:t>
      </w:r>
      <w:r>
        <w:rPr>
          <w:rFonts w:ascii="Arial" w:eastAsiaTheme="minorHAnsi" w:hAnsi="Arial" w:cs="Arial"/>
          <w:b/>
          <w:sz w:val="24"/>
          <w:szCs w:val="24"/>
          <w:lang w:val="sr-Cyrl-RS"/>
        </w:rPr>
        <w:t xml:space="preserve"> 2020. </w:t>
      </w:r>
      <w:r w:rsidR="00BE73D3">
        <w:rPr>
          <w:rFonts w:ascii="Arial" w:eastAsiaTheme="minorHAnsi" w:hAnsi="Arial" w:cs="Arial"/>
          <w:b/>
          <w:sz w:val="24"/>
          <w:szCs w:val="24"/>
          <w:lang w:val="sr-Cyrl-RS"/>
        </w:rPr>
        <w:t>GODINE</w:t>
      </w:r>
    </w:p>
    <w:p w:rsidR="00162D2F" w:rsidRDefault="00BE73D3" w:rsidP="002B5782">
      <w:pPr>
        <w:spacing w:before="120" w:after="120" w:line="240" w:lineRule="auto"/>
        <w:ind w:firstLine="1418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  <w:r>
        <w:rPr>
          <w:rFonts w:ascii="Arial" w:eastAsiaTheme="minorHAnsi" w:hAnsi="Arial" w:cs="Arial"/>
          <w:sz w:val="24"/>
          <w:szCs w:val="24"/>
          <w:lang w:val="sr-Cyrl-RS"/>
        </w:rPr>
        <w:t>Narodna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skupština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većinom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glasova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Theme="minorHAnsi" w:hAnsi="Arial" w:cs="Arial"/>
          <w:sz w:val="24"/>
          <w:szCs w:val="24"/>
          <w:lang w:val="sr-Cyrl-RS"/>
        </w:rPr>
        <w:t>od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1</w:t>
      </w:r>
      <w:r w:rsidR="0079019D" w:rsidRPr="003C3A19">
        <w:rPr>
          <w:rFonts w:ascii="Arial" w:eastAsiaTheme="minorHAnsi" w:hAnsi="Arial" w:cs="Arial"/>
          <w:sz w:val="24"/>
          <w:szCs w:val="24"/>
          <w:lang w:val="sr-Cyrl-RS"/>
        </w:rPr>
        <w:t>81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prisutnog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narodnog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poslanika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>, 1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>80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79019D" w:rsidRPr="003C3A19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glasalo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jedan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nije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glasao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Theme="minorHAnsi" w:hAnsi="Arial" w:cs="Arial"/>
          <w:sz w:val="24"/>
          <w:szCs w:val="24"/>
          <w:lang w:val="sr-Cyrl-RS"/>
        </w:rPr>
        <w:t>usvojila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Predlog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zaključka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povodom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razmatranja</w:t>
      </w:r>
      <w:r w:rsidR="0079019D" w:rsidRPr="00135B97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Izveštaja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radu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Državne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revizorske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institucije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2019. </w:t>
      </w:r>
      <w:r>
        <w:rPr>
          <w:rFonts w:ascii="Arial" w:eastAsiaTheme="minorHAnsi" w:hAnsi="Arial" w:cs="Arial"/>
          <w:sz w:val="24"/>
          <w:szCs w:val="24"/>
          <w:lang w:val="sr-Cyrl-RS"/>
        </w:rPr>
        <w:t>godinu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koji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je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podneo</w:t>
      </w:r>
      <w:r w:rsidR="0079019D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Odbor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za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finansije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Theme="minorHAnsi" w:hAnsi="Arial" w:cs="Arial"/>
          <w:sz w:val="24"/>
          <w:szCs w:val="24"/>
          <w:lang w:val="sr-Cyrl-RS"/>
        </w:rPr>
        <w:t>republički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budžet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i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kontrolu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trošenja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javnih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sr-Cyrl-RS"/>
        </w:rPr>
        <w:t>sredstava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23. </w:t>
      </w:r>
      <w:r>
        <w:rPr>
          <w:rFonts w:ascii="Arial" w:eastAsiaTheme="minorHAnsi" w:hAnsi="Arial" w:cs="Arial"/>
          <w:sz w:val="24"/>
          <w:szCs w:val="24"/>
          <w:lang w:val="sr-Cyrl-RS"/>
        </w:rPr>
        <w:t>novembra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 xml:space="preserve"> 2020. </w:t>
      </w:r>
      <w:r>
        <w:rPr>
          <w:rFonts w:ascii="Arial" w:eastAsiaTheme="minorHAnsi" w:hAnsi="Arial" w:cs="Arial"/>
          <w:sz w:val="24"/>
          <w:szCs w:val="24"/>
          <w:lang w:val="sr-Cyrl-RS"/>
        </w:rPr>
        <w:t>godine</w:t>
      </w:r>
      <w:r w:rsidR="0079019D" w:rsidRPr="00162D2F">
        <w:rPr>
          <w:rFonts w:ascii="Arial" w:eastAsiaTheme="minorHAnsi" w:hAnsi="Arial" w:cs="Arial"/>
          <w:sz w:val="24"/>
          <w:szCs w:val="24"/>
          <w:lang w:val="sr-Cyrl-RS"/>
        </w:rPr>
        <w:t>.</w:t>
      </w:r>
      <w:r w:rsidR="00162D2F" w:rsidRPr="00162D2F">
        <w:rPr>
          <w:rFonts w:ascii="Arial" w:eastAsiaTheme="minorHAnsi" w:hAnsi="Arial" w:cs="Arial"/>
          <w:sz w:val="24"/>
          <w:szCs w:val="24"/>
          <w:lang w:val="sr-Cyrl-RS"/>
        </w:rPr>
        <w:tab/>
      </w:r>
    </w:p>
    <w:p w:rsidR="00162D2F" w:rsidRDefault="00BE73D3" w:rsidP="002B57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Drugu</w:t>
      </w:r>
      <w:r w:rsid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posebnu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162D2F" w:rsidRPr="00162D2F"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62D2F" w:rsidRPr="00162D2F"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Dvanaestom</w:t>
      </w:r>
      <w:r w:rsidR="00162D2F" w:rsidRPr="00162D2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sazivu</w:t>
      </w:r>
      <w:r w:rsidR="00162D2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162D2F" w:rsidRPr="00FC3076" w:rsidRDefault="00BE73D3" w:rsidP="002B5782">
      <w:pPr>
        <w:spacing w:before="120"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Sednica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162D2F">
        <w:rPr>
          <w:rFonts w:ascii="Arial" w:hAnsi="Arial" w:cs="Arial"/>
          <w:sz w:val="24"/>
          <w:szCs w:val="24"/>
          <w:lang w:val="sr-Cyrl-RS"/>
        </w:rPr>
        <w:t>9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62D2F">
        <w:rPr>
          <w:rFonts w:ascii="Arial" w:hAnsi="Arial" w:cs="Arial"/>
          <w:sz w:val="24"/>
          <w:szCs w:val="24"/>
          <w:lang w:val="sr-Cyrl-RS"/>
        </w:rPr>
        <w:t>15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162D2F" w:rsidRPr="00FC3076">
        <w:rPr>
          <w:rFonts w:ascii="Arial" w:hAnsi="Arial" w:cs="Arial"/>
          <w:sz w:val="24"/>
          <w:szCs w:val="24"/>
          <w:lang w:val="sr-Cyrl-RS"/>
        </w:rPr>
        <w:t>.</w:t>
      </w:r>
    </w:p>
    <w:p w:rsidR="00162D2F" w:rsidRDefault="00162D2F" w:rsidP="002B5782">
      <w:pPr>
        <w:spacing w:before="120"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2B5782" w:rsidRPr="002B5782" w:rsidRDefault="002B5782" w:rsidP="002B5782">
      <w:pPr>
        <w:spacing w:before="120" w:after="120" w:line="240" w:lineRule="auto"/>
        <w:ind w:right="187"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62D2F" w:rsidRPr="00FC3076" w:rsidRDefault="00BE73D3" w:rsidP="002B5782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GENERALNI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 w:rsidR="00162D2F" w:rsidRPr="00FC3076">
        <w:rPr>
          <w:rFonts w:ascii="Arial" w:eastAsia="Times New Roman" w:hAnsi="Arial" w:cs="Arial"/>
          <w:sz w:val="24"/>
          <w:szCs w:val="24"/>
        </w:rPr>
        <w:t xml:space="preserve">  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62D2F" w:rsidRPr="00FC3076" w:rsidRDefault="00162D2F" w:rsidP="002B5782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62D2F" w:rsidRPr="00FC3076" w:rsidRDefault="0074452D" w:rsidP="0074452D">
      <w:pPr>
        <w:spacing w:before="120" w:after="120" w:line="240" w:lineRule="auto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AD53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BE73D3"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E343F">
        <w:rPr>
          <w:rFonts w:ascii="Arial" w:eastAsia="Times New Roman" w:hAnsi="Arial" w:cs="Arial"/>
          <w:sz w:val="24"/>
          <w:szCs w:val="24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="00162D2F" w:rsidRPr="00FC307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E73D3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162D2F" w:rsidRPr="00162D2F" w:rsidRDefault="00162D2F" w:rsidP="002B5782">
      <w:pPr>
        <w:spacing w:before="120"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62D2F" w:rsidRDefault="00162D2F" w:rsidP="00AA54BC">
      <w:pPr>
        <w:spacing w:after="120" w:line="240" w:lineRule="auto"/>
        <w:ind w:firstLine="720"/>
        <w:jc w:val="both"/>
        <w:rPr>
          <w:rFonts w:ascii="Arial" w:eastAsiaTheme="minorHAnsi" w:hAnsi="Arial" w:cs="Arial"/>
          <w:sz w:val="24"/>
          <w:szCs w:val="24"/>
          <w:lang w:val="sr-Cyrl-RS"/>
        </w:rPr>
      </w:pPr>
    </w:p>
    <w:sectPr w:rsidR="00162D2F" w:rsidSect="001C0E16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F9" w:rsidRDefault="003354F9" w:rsidP="001C0E16">
      <w:pPr>
        <w:spacing w:after="0" w:line="240" w:lineRule="auto"/>
      </w:pPr>
      <w:r>
        <w:separator/>
      </w:r>
    </w:p>
  </w:endnote>
  <w:endnote w:type="continuationSeparator" w:id="0">
    <w:p w:rsidR="003354F9" w:rsidRDefault="003354F9" w:rsidP="001C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F9" w:rsidRDefault="003354F9" w:rsidP="001C0E16">
      <w:pPr>
        <w:spacing w:after="0" w:line="240" w:lineRule="auto"/>
      </w:pPr>
      <w:r>
        <w:separator/>
      </w:r>
    </w:p>
  </w:footnote>
  <w:footnote w:type="continuationSeparator" w:id="0">
    <w:p w:rsidR="003354F9" w:rsidRDefault="003354F9" w:rsidP="001C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5657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0E16" w:rsidRDefault="001C0E1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3D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0E16" w:rsidRDefault="001C0E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71BE"/>
    <w:multiLevelType w:val="hybridMultilevel"/>
    <w:tmpl w:val="D7741504"/>
    <w:lvl w:ilvl="0" w:tplc="CB4804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F"/>
    <w:rsid w:val="00077144"/>
    <w:rsid w:val="000B53DD"/>
    <w:rsid w:val="000E1961"/>
    <w:rsid w:val="000F3CD6"/>
    <w:rsid w:val="000F4AEA"/>
    <w:rsid w:val="000F7D39"/>
    <w:rsid w:val="00135B97"/>
    <w:rsid w:val="001449B5"/>
    <w:rsid w:val="00162D2F"/>
    <w:rsid w:val="00184BEE"/>
    <w:rsid w:val="001C0E16"/>
    <w:rsid w:val="001C60E0"/>
    <w:rsid w:val="001D0B84"/>
    <w:rsid w:val="001D2535"/>
    <w:rsid w:val="0021735C"/>
    <w:rsid w:val="00223783"/>
    <w:rsid w:val="00235A41"/>
    <w:rsid w:val="00237B0D"/>
    <w:rsid w:val="002A5BDF"/>
    <w:rsid w:val="002B5782"/>
    <w:rsid w:val="002C409D"/>
    <w:rsid w:val="002D7D3F"/>
    <w:rsid w:val="0030337F"/>
    <w:rsid w:val="003354F9"/>
    <w:rsid w:val="00362847"/>
    <w:rsid w:val="00391A5D"/>
    <w:rsid w:val="003C3A19"/>
    <w:rsid w:val="00496D55"/>
    <w:rsid w:val="005258EA"/>
    <w:rsid w:val="00527FE9"/>
    <w:rsid w:val="005671DC"/>
    <w:rsid w:val="00605C93"/>
    <w:rsid w:val="00631F99"/>
    <w:rsid w:val="00683BF9"/>
    <w:rsid w:val="006C0195"/>
    <w:rsid w:val="00703F39"/>
    <w:rsid w:val="0074452D"/>
    <w:rsid w:val="00783673"/>
    <w:rsid w:val="0079019D"/>
    <w:rsid w:val="0079066D"/>
    <w:rsid w:val="007F12D8"/>
    <w:rsid w:val="009561F6"/>
    <w:rsid w:val="00966C55"/>
    <w:rsid w:val="00973CC0"/>
    <w:rsid w:val="009E343F"/>
    <w:rsid w:val="00A4483F"/>
    <w:rsid w:val="00A53CA8"/>
    <w:rsid w:val="00A721DA"/>
    <w:rsid w:val="00AA54BC"/>
    <w:rsid w:val="00AD5333"/>
    <w:rsid w:val="00B4511B"/>
    <w:rsid w:val="00B73D9D"/>
    <w:rsid w:val="00B77DEE"/>
    <w:rsid w:val="00BB7137"/>
    <w:rsid w:val="00BE73D3"/>
    <w:rsid w:val="00C42F13"/>
    <w:rsid w:val="00C518AA"/>
    <w:rsid w:val="00C5425E"/>
    <w:rsid w:val="00C843D8"/>
    <w:rsid w:val="00CA18F9"/>
    <w:rsid w:val="00DA1D86"/>
    <w:rsid w:val="00E04EB3"/>
    <w:rsid w:val="00F12CE7"/>
    <w:rsid w:val="00F1624E"/>
    <w:rsid w:val="00F24300"/>
    <w:rsid w:val="00F70E68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15E7"/>
  <w15:docId w15:val="{414FD4AB-3C4F-4C35-BE8E-FF41014A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E1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0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E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Novica Popadic</dc:creator>
  <cp:lastModifiedBy>Dragana Gasic</cp:lastModifiedBy>
  <cp:revision>3</cp:revision>
  <dcterms:created xsi:type="dcterms:W3CDTF">2021-01-27T07:14:00Z</dcterms:created>
  <dcterms:modified xsi:type="dcterms:W3CDTF">2021-01-27T07:14:00Z</dcterms:modified>
</cp:coreProperties>
</file>