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37" w:rsidRPr="00815037" w:rsidRDefault="00815037" w:rsidP="00815037">
      <w:pPr>
        <w:pStyle w:val="ZAKON"/>
      </w:pPr>
      <w:bookmarkStart w:id="0" w:name="_GoBack"/>
      <w:bookmarkEnd w:id="0"/>
      <w:r>
        <w:t>ЗАКОН</w:t>
      </w:r>
    </w:p>
    <w:p w:rsidR="00815037" w:rsidRPr="00815037" w:rsidRDefault="00815037" w:rsidP="00815037">
      <w:pPr>
        <w:pStyle w:val="NAZIVZAKONA"/>
      </w:pPr>
      <w:r w:rsidRPr="00815037">
        <w:t>О ДАВАЊУ ГАРАНЦИЈЕ РЕПУБЛИКЕ СРБИЈЕ</w:t>
      </w:r>
      <w:r>
        <w:rPr>
          <w:rFonts w:asciiTheme="minorHAnsi" w:hAnsiTheme="minorHAnsi"/>
          <w:lang w:val="en-US"/>
        </w:rPr>
        <w:t xml:space="preserve"> </w:t>
      </w:r>
      <w:r w:rsidRPr="00815037">
        <w:t>У КОРИСТ OТП БАНКА СРБИЈА А.Д. НОВИ САД, BANCA INTESA A.D. BEOGRAD, NBG BANK MALTA LTD, „АИК БАНКА” А.Д.  НИШ И UNICREDIT BANK SRBIJA A.D. БЕОГРАД ПО ЗАДУЖЕЊУ ЈАВНОГ ПРЕДУЗЕЋА „СРБИЈАГАС” НОВИ САД</w:t>
      </w:r>
    </w:p>
    <w:p w:rsidR="00815037" w:rsidRPr="00815037" w:rsidRDefault="00815037" w:rsidP="00815037">
      <w:pPr>
        <w:pStyle w:val="CLAN"/>
      </w:pPr>
      <w:r w:rsidRPr="00815037">
        <w:t>Члан 1.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 xml:space="preserve">Република Србија преузима обавезу да као гарант измири обавезе Јавног предузећа „Србијагас” Нови Сад (у даљем тексту: Зајмопримац) по основу кредита за одржавање текуће ликвидности одобреним од стране OТП Банка Србија а.д. Нови Сад у износу који не може бити већи од динарског износа индексираног у америчким доларима, у износу до 20.000.000 америчких долара (словима: двадесетмилиона америчких долара) увећаног за износ припадајуће уговорене камате, накнада и трошкова; Banca Intesa a.d. Beograd у износу који не може бити већи од динарског износа индексираног у америчким доларима, у износу до 30.000.000 америчких долара (словима: тридесетмилиона америчких долара) увећаног за износ припадајуће уговорене камате, накнада и трошкова; Banca Intesa a.d. Beograd у износу који не може бити већи од динарског износа индексираног у америчким доларима, у износу до 20.000.000 америчких долара (словима: двадесетмилиона америчких долара) увећаног за износ припадајуће уговорене камате, накнада и трошкова; Banca Intesa a.d. Beograd у износу који не може бити већи од динарског износа индексираног у америчким доларима, у износу до 20.000.000 америчких долара (словима: двадесетмилиона америчких долара) увећаног за износ припадајуће уговорене камате, накнада и трошкова; NBG Bank Malta LTD као зајмодавца и Војвођанске банке а.д. Нови Сад као агента обезбеђења и агента исплатиоца у износу који не може бити већи од динарског износа индексираног у америчким доларима, у износу до 20.000.000 америчких долара (словима: двадесетмилиона америчких долара) увећаног за износ припадајуће уговорене камате, накнада и трошкова; „АИК Банка” а.д. Ниш у износу који не може бити већи од динарског износа индексираног у америчким доларима, у износу до 20.000.000 америчких долара (словима: двадесетмилиона америчких долара) увећаног за износ припадајуће уговорене камате, накнада и трошкова; UniCredit Bank Srbija a.d. Београд у износу који не може бити већи од динарског износа индексираног у америчким доларима, у износу до 30.000.000 америчких долара (словима: тридесетмилиона америчких долара) увећаног за износ припадајуће уговорене камате, накнада и трошкова и UniCredit Bank Srbija a.d. Београд у износу који не може бити већи од динарског износа индексираног у америчким доларима, у износу до 40.000.000 америчких долара (словима: четрдесетмилиона америчких долара) увећаног за износ припадајуће уговорене камате, накнада и трошкова. </w:t>
      </w:r>
    </w:p>
    <w:p w:rsidR="00815037" w:rsidRPr="00815037" w:rsidRDefault="00815037" w:rsidP="00815037">
      <w:pPr>
        <w:pStyle w:val="CLAN"/>
      </w:pPr>
      <w:r w:rsidRPr="00815037">
        <w:t>Члан 2.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Гаранцију из члана 1.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овог закона Република Србија издаје у корист OТП Банка Србија а.д. Нови Сад, на име обавеза из Уговора о кредиту број 00-421-0602700.0/KR 2014/1877, за одржавање текуће ликвидности у износу до 20.000.000 америчких долара (словима: двадесетмилиона америчких долара) у динарској противвредности по средњем курсу Народне банке Србије увећаног за номиналну каматну стопу која је варијабилна и износи тромесечни USD </w:t>
      </w:r>
      <w:r w:rsidRPr="00815037">
        <w:rPr>
          <w:rFonts w:ascii="Arial" w:hAnsi="Arial" w:cs="Arial"/>
          <w:sz w:val="22"/>
          <w:szCs w:val="22"/>
        </w:rPr>
        <w:lastRenderedPageBreak/>
        <w:t xml:space="preserve">LIBOR плус каматна маржа која износи 5,20% на годишњем нивоу, накнада и трошкова, закљученог између Зајмопримца и OТП Банка Србија а.д. Нови Сад, 8. </w:t>
      </w:r>
      <w:proofErr w:type="gramStart"/>
      <w:r w:rsidRPr="00815037">
        <w:rPr>
          <w:rFonts w:ascii="Arial" w:hAnsi="Arial" w:cs="Arial"/>
          <w:sz w:val="22"/>
          <w:szCs w:val="22"/>
        </w:rPr>
        <w:t>децембра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2014. </w:t>
      </w:r>
      <w:proofErr w:type="gramStart"/>
      <w:r w:rsidRPr="00815037">
        <w:rPr>
          <w:rFonts w:ascii="Arial" w:hAnsi="Arial" w:cs="Arial"/>
          <w:sz w:val="22"/>
          <w:szCs w:val="22"/>
        </w:rPr>
        <w:t>године</w:t>
      </w:r>
      <w:proofErr w:type="gramEnd"/>
      <w:r w:rsidRPr="00815037">
        <w:rPr>
          <w:rFonts w:ascii="Arial" w:hAnsi="Arial" w:cs="Arial"/>
          <w:sz w:val="22"/>
          <w:szCs w:val="22"/>
        </w:rPr>
        <w:t>.</w:t>
      </w:r>
    </w:p>
    <w:p w:rsidR="00815037" w:rsidRPr="00815037" w:rsidRDefault="00815037" w:rsidP="00815037">
      <w:pPr>
        <w:pStyle w:val="CLAN"/>
      </w:pPr>
      <w:r w:rsidRPr="00815037">
        <w:t>Члан 3.</w:t>
      </w:r>
    </w:p>
    <w:p w:rsid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Гаранцију из члана 1.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овог закона Република Србија издаје у корист Banca Intesa a.d. Beograd, на име обавеза из Уговора о дугорочном кредиту, кредитна партија број 00-420-0311641.1, за одржавање текуће ликвидности у износу до 30.000.000 америчких долара (словима: тридесетмилиона америчких долара) у динарској противвредности по средњем курсу Народне банке Србије увећаног за номиналну каматну стопу која је варијабилна и износи тромесечни USD LIBOR плус каматна маржа која износи 4,50% на годишњем нивоу, накнада и трошкова, закљученог између Зајмопримца и Banca Intesa a.d. Beograd, 8. </w:t>
      </w:r>
      <w:proofErr w:type="gramStart"/>
      <w:r w:rsidRPr="00815037">
        <w:rPr>
          <w:rFonts w:ascii="Arial" w:hAnsi="Arial" w:cs="Arial"/>
          <w:sz w:val="22"/>
          <w:szCs w:val="22"/>
        </w:rPr>
        <w:t>децембра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2014. </w:t>
      </w:r>
      <w:proofErr w:type="gramStart"/>
      <w:r w:rsidRPr="00815037">
        <w:rPr>
          <w:rFonts w:ascii="Arial" w:hAnsi="Arial" w:cs="Arial"/>
          <w:sz w:val="22"/>
          <w:szCs w:val="22"/>
        </w:rPr>
        <w:t>године</w:t>
      </w:r>
      <w:proofErr w:type="gramEnd"/>
      <w:r w:rsidRPr="00815037">
        <w:rPr>
          <w:rFonts w:ascii="Arial" w:hAnsi="Arial" w:cs="Arial"/>
          <w:sz w:val="22"/>
          <w:szCs w:val="22"/>
        </w:rPr>
        <w:t>.</w:t>
      </w:r>
    </w:p>
    <w:p w:rsidR="00815037" w:rsidRPr="00815037" w:rsidRDefault="00815037" w:rsidP="00815037">
      <w:pPr>
        <w:pStyle w:val="CLAN"/>
      </w:pPr>
      <w:r w:rsidRPr="00815037">
        <w:t>Члан 4.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Гаранцију из члана 1.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овог закона Република Србија издаје у корист Banca Intesa a.d. Beograd, на име обавеза из Уговора о дугорочном кредиту, кредитна партија број 00-420-0311643.8, за одржавање текуће ликвидности у износу до 20.000.000 америчких долара (словима: двадесетмилиона америчких долара) у динарској противвредности по средњем курсу Народне банке Србије увећаног за номиналну каматну стопу која је варијабилна и износи тромесечни USD LIBOR плус каматна маржа која износи 4,86% на годишњем нивоу, накнада и трошкова, закљученог између Зајмопримца и Banca Intesa a.d. Beograd, 8. </w:t>
      </w:r>
      <w:proofErr w:type="gramStart"/>
      <w:r w:rsidRPr="00815037">
        <w:rPr>
          <w:rFonts w:ascii="Arial" w:hAnsi="Arial" w:cs="Arial"/>
          <w:sz w:val="22"/>
          <w:szCs w:val="22"/>
        </w:rPr>
        <w:t>децембра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2014. </w:t>
      </w:r>
      <w:proofErr w:type="gramStart"/>
      <w:r w:rsidRPr="00815037">
        <w:rPr>
          <w:rFonts w:ascii="Arial" w:hAnsi="Arial" w:cs="Arial"/>
          <w:sz w:val="22"/>
          <w:szCs w:val="22"/>
        </w:rPr>
        <w:t>године</w:t>
      </w:r>
      <w:proofErr w:type="gramEnd"/>
      <w:r w:rsidRPr="00815037">
        <w:rPr>
          <w:rFonts w:ascii="Arial" w:hAnsi="Arial" w:cs="Arial"/>
          <w:sz w:val="22"/>
          <w:szCs w:val="22"/>
        </w:rPr>
        <w:t>.</w:t>
      </w:r>
    </w:p>
    <w:p w:rsidR="00815037" w:rsidRPr="00815037" w:rsidRDefault="00815037" w:rsidP="00815037">
      <w:pPr>
        <w:pStyle w:val="CLAN"/>
      </w:pPr>
      <w:r w:rsidRPr="00815037">
        <w:t>Члан 5.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Гаранцију из члана 1.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овог закона Република Србија издаје у корист Banca Intesa a.d. Beograd, на име обавеза из Уговора о дугорочном кредиту, кредитна партија број 00-420-0311642.0, за одржавање текуће ликвидности у износу до 20.000.000 америчких долара (словима: двадесетмилиона америчких долара) у динарској противвредности по средњем курсу Народне банке Србије увећаног за номиналну каматну стопу која је варијабилна и износи тромесечни USD LIBOR плус каматна маржа која износи 4,71% на годишњем нивоу, накнада и трошкова, закљученог између Зајмопримца и Banca Intesa a.d. Beograd, 8. </w:t>
      </w:r>
      <w:proofErr w:type="gramStart"/>
      <w:r w:rsidRPr="00815037">
        <w:rPr>
          <w:rFonts w:ascii="Arial" w:hAnsi="Arial" w:cs="Arial"/>
          <w:sz w:val="22"/>
          <w:szCs w:val="22"/>
        </w:rPr>
        <w:t>децембра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2014. </w:t>
      </w:r>
      <w:proofErr w:type="gramStart"/>
      <w:r w:rsidRPr="00815037">
        <w:rPr>
          <w:rFonts w:ascii="Arial" w:hAnsi="Arial" w:cs="Arial"/>
          <w:sz w:val="22"/>
          <w:szCs w:val="22"/>
        </w:rPr>
        <w:t>године</w:t>
      </w:r>
      <w:proofErr w:type="gramEnd"/>
      <w:r w:rsidRPr="00815037">
        <w:rPr>
          <w:rFonts w:ascii="Arial" w:hAnsi="Arial" w:cs="Arial"/>
          <w:sz w:val="22"/>
          <w:szCs w:val="22"/>
        </w:rPr>
        <w:t>.</w:t>
      </w:r>
    </w:p>
    <w:p w:rsidR="00815037" w:rsidRPr="00815037" w:rsidRDefault="00815037" w:rsidP="00815037">
      <w:pPr>
        <w:pStyle w:val="CLAN"/>
      </w:pPr>
      <w:r w:rsidRPr="00815037">
        <w:t xml:space="preserve">Члан 6. 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Гаранцију из члана 1.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овог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закона Република Србија издаје у корист NBG Bank Malta LTD као зајмодавца и Војвођанске банке а.д. Нови Сад као агента обезбеђења и агента исплатиоца, на име обавеза из Уговора о кредиту бр. 02-20363, за одржавање текуће ликвидности у износу до 20.000.000 америчких долара (словима: двадесетмилиона америчких долара) у динарској противвредности по средњем курсу Народне банке Србије увећаног за номиналну каматну стопу која је варијабилна и износи тромесечни USD LIBOR плус каматна маржа која износи 4,50% на годишњем нивоу, накнада и трошкова, закљученог између Зајмопримца и NBG Bank Malta LTD као зајмодавца и Војвођанске банке а.д. Нови Сад као агента обезбеђења и агента исплатиоца, 8. </w:t>
      </w:r>
      <w:proofErr w:type="gramStart"/>
      <w:r w:rsidRPr="00815037">
        <w:rPr>
          <w:rFonts w:ascii="Arial" w:hAnsi="Arial" w:cs="Arial"/>
          <w:sz w:val="22"/>
          <w:szCs w:val="22"/>
        </w:rPr>
        <w:t>децембра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2014. </w:t>
      </w:r>
      <w:proofErr w:type="gramStart"/>
      <w:r w:rsidRPr="00815037">
        <w:rPr>
          <w:rFonts w:ascii="Arial" w:hAnsi="Arial" w:cs="Arial"/>
          <w:sz w:val="22"/>
          <w:szCs w:val="22"/>
        </w:rPr>
        <w:t>године</w:t>
      </w:r>
      <w:proofErr w:type="gramEnd"/>
      <w:r w:rsidRPr="00815037">
        <w:rPr>
          <w:rFonts w:ascii="Arial" w:hAnsi="Arial" w:cs="Arial"/>
          <w:sz w:val="22"/>
          <w:szCs w:val="22"/>
        </w:rPr>
        <w:t>.</w:t>
      </w:r>
    </w:p>
    <w:p w:rsidR="00815037" w:rsidRPr="00815037" w:rsidRDefault="00815037" w:rsidP="00815037">
      <w:pPr>
        <w:pStyle w:val="CLAN"/>
      </w:pPr>
      <w:r w:rsidRPr="00815037">
        <w:t>Члан 7.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Гаранцију из члана 1.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овог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закона Република Србија издаје у корист „АИК Банка” а.д. Ниш, на име обавеза из Уговора о кредиту бр. 105332045802807443, за одржавање текуће ликвидности у износу до 20.000.000 америчких долара (словима: двадесетмилиона америчких долара) у динарској противвредности по </w:t>
      </w:r>
      <w:r w:rsidRPr="00815037">
        <w:rPr>
          <w:rFonts w:ascii="Arial" w:hAnsi="Arial" w:cs="Arial"/>
          <w:sz w:val="22"/>
          <w:szCs w:val="22"/>
        </w:rPr>
        <w:lastRenderedPageBreak/>
        <w:t xml:space="preserve">средњем курсу Народне банке Србије увећаног за номиналну каматну стопу која је варијабилна и износи тромесечни USD LIBOR плус каматна маржа која износи 6,00% на годишњем нивоу, накнада и трошкова, закљученог између Зајмопримца и „АИК Банка” а.д. Ниш, 8. </w:t>
      </w:r>
      <w:proofErr w:type="gramStart"/>
      <w:r w:rsidRPr="00815037">
        <w:rPr>
          <w:rFonts w:ascii="Arial" w:hAnsi="Arial" w:cs="Arial"/>
          <w:sz w:val="22"/>
          <w:szCs w:val="22"/>
        </w:rPr>
        <w:t>децембра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2014. </w:t>
      </w:r>
      <w:proofErr w:type="gramStart"/>
      <w:r w:rsidRPr="00815037">
        <w:rPr>
          <w:rFonts w:ascii="Arial" w:hAnsi="Arial" w:cs="Arial"/>
          <w:sz w:val="22"/>
          <w:szCs w:val="22"/>
        </w:rPr>
        <w:t>године</w:t>
      </w:r>
      <w:proofErr w:type="gramEnd"/>
      <w:r w:rsidRPr="00815037">
        <w:rPr>
          <w:rFonts w:ascii="Arial" w:hAnsi="Arial" w:cs="Arial"/>
          <w:sz w:val="22"/>
          <w:szCs w:val="22"/>
        </w:rPr>
        <w:t>.</w:t>
      </w:r>
    </w:p>
    <w:p w:rsidR="00815037" w:rsidRPr="00815037" w:rsidRDefault="00815037" w:rsidP="00815037">
      <w:pPr>
        <w:pStyle w:val="CLAN"/>
      </w:pPr>
      <w:r w:rsidRPr="00815037">
        <w:t>Члан 8.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Гаранцију из члана 1.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овог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закона Република Србија издаје у корист UniCredit Bank Srbija a.d. Београд, на име обавеза из Уговора о дугорочном кредиту бр. Р 2817/14, за одржавање текуће ликвидности у износу до 30.000.000 америчких долара (словима: тридесетмилиона америчких долара) у динарској противвредности по средњем курсу Народне банке Србије увећаног за номиналну каматну стопу која је варијабилна и износи тромесечни USD LIBOR плус каматна маржа која износи 5</w:t>
      </w:r>
      <w:proofErr w:type="gramStart"/>
      <w:r w:rsidRPr="00815037">
        <w:rPr>
          <w:rFonts w:ascii="Arial" w:hAnsi="Arial" w:cs="Arial"/>
          <w:sz w:val="22"/>
          <w:szCs w:val="22"/>
        </w:rPr>
        <w:t>,45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% на годишњем нивоу, накнада и трошкова, закљученог између Зајмопримца и UniCredit Bank Srbija a.d. Београд, 8. </w:t>
      </w:r>
      <w:proofErr w:type="gramStart"/>
      <w:r w:rsidRPr="00815037">
        <w:rPr>
          <w:rFonts w:ascii="Arial" w:hAnsi="Arial" w:cs="Arial"/>
          <w:sz w:val="22"/>
          <w:szCs w:val="22"/>
        </w:rPr>
        <w:t>децембра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2014. </w:t>
      </w:r>
      <w:proofErr w:type="gramStart"/>
      <w:r w:rsidRPr="00815037">
        <w:rPr>
          <w:rFonts w:ascii="Arial" w:hAnsi="Arial" w:cs="Arial"/>
          <w:sz w:val="22"/>
          <w:szCs w:val="22"/>
        </w:rPr>
        <w:t>године</w:t>
      </w:r>
      <w:proofErr w:type="gramEnd"/>
      <w:r w:rsidRPr="00815037">
        <w:rPr>
          <w:rFonts w:ascii="Arial" w:hAnsi="Arial" w:cs="Arial"/>
          <w:sz w:val="22"/>
          <w:szCs w:val="22"/>
        </w:rPr>
        <w:t>.</w:t>
      </w:r>
    </w:p>
    <w:p w:rsidR="00815037" w:rsidRPr="00815037" w:rsidRDefault="00815037" w:rsidP="00815037">
      <w:pPr>
        <w:pStyle w:val="CLAN"/>
      </w:pPr>
      <w:r w:rsidRPr="00815037">
        <w:t>Члан 9.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Гаранцију из члана 1.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овог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закона Република Србија издаје у корист UniCredit Bank Srbija a.d. Београд, на име обавеза из Уговора о дугорочном кредиту бр. Р 2819/14, за одржавање текуће ликвидности у износу до 40.000.000 америчких долара (словима: четрдесетмилиона америчких долара) у динарској противвредности по средњем курсу Народне банке Србије увећаног за номиналну каматну стопу која је варијабилна и износи тромесечни USD LIBOR плус каматна маржа која износи 5</w:t>
      </w:r>
      <w:proofErr w:type="gramStart"/>
      <w:r w:rsidRPr="00815037">
        <w:rPr>
          <w:rFonts w:ascii="Arial" w:hAnsi="Arial" w:cs="Arial"/>
          <w:sz w:val="22"/>
          <w:szCs w:val="22"/>
        </w:rPr>
        <w:t>,45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% на годишњем нивоу, накнада и трошкова, закљученог између Зајмопримца и UniCredit Bank Srbija a.d. Београд, 8. </w:t>
      </w:r>
      <w:proofErr w:type="gramStart"/>
      <w:r w:rsidRPr="00815037">
        <w:rPr>
          <w:rFonts w:ascii="Arial" w:hAnsi="Arial" w:cs="Arial"/>
          <w:sz w:val="22"/>
          <w:szCs w:val="22"/>
        </w:rPr>
        <w:t>децембра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2014. </w:t>
      </w:r>
      <w:proofErr w:type="gramStart"/>
      <w:r w:rsidRPr="00815037">
        <w:rPr>
          <w:rFonts w:ascii="Arial" w:hAnsi="Arial" w:cs="Arial"/>
          <w:sz w:val="22"/>
          <w:szCs w:val="22"/>
        </w:rPr>
        <w:t>године</w:t>
      </w:r>
      <w:proofErr w:type="gramEnd"/>
      <w:r w:rsidRPr="00815037">
        <w:rPr>
          <w:rFonts w:ascii="Arial" w:hAnsi="Arial" w:cs="Arial"/>
          <w:sz w:val="22"/>
          <w:szCs w:val="22"/>
        </w:rPr>
        <w:t>.</w:t>
      </w:r>
    </w:p>
    <w:p w:rsidR="00815037" w:rsidRPr="00815037" w:rsidRDefault="00815037" w:rsidP="00815037">
      <w:pPr>
        <w:pStyle w:val="CLAN"/>
      </w:pPr>
      <w:r w:rsidRPr="00815037">
        <w:t>Члан 10.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 xml:space="preserve">Република Србија (у даљем тексту: Гарант) овим неопозиво, безусловно, без приговора и на први позив гарантује, да ће измирити дуг Зајмопримца према OТП Банка Србија а.д. Нови Сад, Banca Intesa a.d. Beograd, NBG Bank Malta LTD, „АИК Банка” а.д. Ниш и UniCredit Bank Srbija a.d. Београд (у даљем тексту: Банке), односно свих плативих износа о њиховом доспећу, у свему на начин и у складу са условима из појединачних уговора о кредиту, са роком важности који ће бити дужи за месец дана од рока доспећа кредита, чиме се ствара обавеза отплате дуга насталих по основу датих гаранција да плати доспелу а неизмирену обавезу уколико Зајмопримац не изврши ту своју обавезу благовремено, у складу са уговорима о кредиту са Банкама. 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Уколико Гарант не изврши своју обавезу, у року који је наведен у ставу 1.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овог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члана, свака од Банака ће независно једна од друге имати право да прогласи доспелим све износе који су плативи у складу са одредбама појединачних уговора о кредиту.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У случају активирања ове гаранције, свака од Банака ће имати право да од Гаранта наплати износ својих доспелих а неизмирених потраживања.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Гарант се обавезује да ће обезбедити у буџету Републике Србије за одговарајућу фискалну годину, средства неопходна за извршавање преузетих обавеза по овој гаранцији.</w:t>
      </w:r>
      <w:proofErr w:type="gramEnd"/>
    </w:p>
    <w:p w:rsidR="00815037" w:rsidRPr="00815037" w:rsidRDefault="00815037" w:rsidP="00815037">
      <w:pPr>
        <w:pStyle w:val="CLAN"/>
      </w:pPr>
      <w:r w:rsidRPr="00815037">
        <w:t>Члан 11.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Отплату кредита врши Зајмопримац према OТП Банка Србија а.д. Нови Сад, Banca Intesa a.d. Beograd, NBG Bank Malta LTD, „АИК Банка” а.д. Ниш и UniCredit Bank Srbija a.d. Београд у динарима индексирано према вредности америчког долара,  све у складу са одредбама појединачних уговора о кредиту.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lastRenderedPageBreak/>
        <w:t>Средства за отплату кредита обезбедиће Зајмопримац из сопствених прихода.</w:t>
      </w:r>
      <w:proofErr w:type="gramEnd"/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Зајмопримац је дужан да средства за отплату кредита обезбеђује према плану отплате, у износу који укључује главницу, обрачунату камату и пратеће трошкове задуживања.</w:t>
      </w:r>
      <w:proofErr w:type="gramEnd"/>
    </w:p>
    <w:p w:rsidR="00815037" w:rsidRPr="00815037" w:rsidRDefault="00815037" w:rsidP="00815037">
      <w:pPr>
        <w:pStyle w:val="CLAN"/>
      </w:pPr>
      <w:r w:rsidRPr="00815037">
        <w:t>Члан 12.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 xml:space="preserve">Ако по основу дате гаранције Гарант изврши обавезу уместо Зајмопримца, Гарант ће од Зајмопримца имати право на повраћај главнице, камате, пратећих трошкова задуживања и пратећих трошкова који настану због неизвршења, односно неблаговременог извршења обавезе, као и свих других трошкова који могу настати у вези са извршавањем обавеза уместо Зајмопримца, до висине износа измирене обавезе, као и право да од Зајмопримца наплати обрачунату законску затезну камату. </w:t>
      </w:r>
      <w:proofErr w:type="gramStart"/>
      <w:r w:rsidRPr="00815037">
        <w:rPr>
          <w:rFonts w:ascii="Arial" w:hAnsi="Arial" w:cs="Arial"/>
          <w:sz w:val="22"/>
          <w:szCs w:val="22"/>
        </w:rPr>
        <w:t>Гарант своје право повраћаја од Зајмопримца неће остваривати пре потпуног намирења потраживања свих Банака, нити ће поступати противно њиховим интересима.</w:t>
      </w:r>
      <w:proofErr w:type="gramEnd"/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Право на повраћај средстава из става 1.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овог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члана Гарант ће остварити тако што ће иницирати наплату са рачуна Зајмопримца на основу овлашћења добијеног од Зајмопримца или других инструмената обезбеђења, у складу са прописима којима се уређује платни промет.</w:t>
      </w:r>
    </w:p>
    <w:p w:rsidR="00815037" w:rsidRPr="00815037" w:rsidRDefault="00815037" w:rsidP="00815037">
      <w:pPr>
        <w:pStyle w:val="CLAN"/>
      </w:pPr>
      <w:r w:rsidRPr="00815037">
        <w:t>Члан 13.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Средства кредита која су Зајмопримцу стављена на располагање на основу закључених уговора за одржавање текуће ликвидности из чл.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2 - 9. </w:t>
      </w:r>
      <w:proofErr w:type="gramStart"/>
      <w:r w:rsidRPr="00815037">
        <w:rPr>
          <w:rFonts w:ascii="Arial" w:hAnsi="Arial" w:cs="Arial"/>
          <w:sz w:val="22"/>
          <w:szCs w:val="22"/>
        </w:rPr>
        <w:t>овог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закона за које се издаје гаранција по овом закону уплатиће се на наменски рачун Зајмопримца који ће се отворити код Народне банке Србије, након ступања на снагу овог закона. </w:t>
      </w:r>
      <w:proofErr w:type="gramStart"/>
      <w:r w:rsidRPr="00815037">
        <w:rPr>
          <w:rFonts w:ascii="Arial" w:hAnsi="Arial" w:cs="Arial"/>
          <w:sz w:val="22"/>
          <w:szCs w:val="22"/>
        </w:rPr>
        <w:t>Средства са наменског рачуна користиће се за плаћање обавеза Зајмопримца само уз сагласност министра надлежног за послове финансија.</w:t>
      </w:r>
      <w:proofErr w:type="gramEnd"/>
    </w:p>
    <w:p w:rsidR="00815037" w:rsidRPr="00815037" w:rsidRDefault="00815037" w:rsidP="00815037">
      <w:pPr>
        <w:pStyle w:val="CLAN"/>
      </w:pPr>
      <w:r w:rsidRPr="00815037">
        <w:t>Члан 14.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Овај закон ступа на снагу наредног дана од дана објављивања у „Службеном гласнику Републике Србије”.</w:t>
      </w:r>
      <w:proofErr w:type="gramEnd"/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eastAsiaTheme="minorHAnsi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br w:type="page"/>
      </w:r>
    </w:p>
    <w:p w:rsidR="00815037" w:rsidRPr="00815037" w:rsidRDefault="00815037" w:rsidP="00815037">
      <w:pPr>
        <w:tabs>
          <w:tab w:val="left" w:pos="1152"/>
        </w:tabs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15037">
        <w:rPr>
          <w:rFonts w:ascii="Arial" w:hAnsi="Arial" w:cs="Arial"/>
          <w:b/>
          <w:sz w:val="22"/>
          <w:szCs w:val="22"/>
        </w:rPr>
        <w:lastRenderedPageBreak/>
        <w:t>О Б Р А З Л О Ж Е Њ Е</w:t>
      </w:r>
    </w:p>
    <w:p w:rsidR="00815037" w:rsidRPr="00815037" w:rsidRDefault="00815037" w:rsidP="00815037">
      <w:pPr>
        <w:tabs>
          <w:tab w:val="left" w:pos="1152"/>
        </w:tabs>
        <w:spacing w:before="240" w:after="24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  <w:r w:rsidRPr="00815037">
        <w:rPr>
          <w:rFonts w:ascii="Arial" w:hAnsi="Arial" w:cs="Arial"/>
          <w:sz w:val="22"/>
          <w:szCs w:val="22"/>
        </w:rPr>
        <w:t xml:space="preserve">УСТАВНИ ОСНОВ ЗА ДОНОШЕЊЕ ЗАКОНА 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Уставни основ за доношење овог закона садржан је у одредби члана 97.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тачка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15. </w:t>
      </w:r>
      <w:proofErr w:type="gramStart"/>
      <w:r w:rsidRPr="00815037">
        <w:rPr>
          <w:rFonts w:ascii="Arial" w:hAnsi="Arial" w:cs="Arial"/>
          <w:sz w:val="22"/>
          <w:szCs w:val="22"/>
        </w:rPr>
        <w:t>Устава Републике Србије, према којој Република Србија уређује и обезбеђује финансирање остваривања права и дужности Републике Србије, утврђених Уставом и законом.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Истовремено члан 16.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Закона о јавном дугу („Службени гласник РС”, бр. 61/05, 107/09 и 78/11) прописује да Република Србија може дати гаранцију за измирење дуга јавних предузећа чији је оснивач.</w:t>
      </w:r>
      <w:proofErr w:type="gramEnd"/>
    </w:p>
    <w:p w:rsidR="00815037" w:rsidRPr="00815037" w:rsidRDefault="00815037" w:rsidP="00815037">
      <w:pPr>
        <w:tabs>
          <w:tab w:val="left" w:pos="1152"/>
        </w:tabs>
        <w:spacing w:before="240" w:after="24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II. </w:t>
      </w:r>
      <w:r w:rsidRPr="00815037">
        <w:rPr>
          <w:rFonts w:ascii="Arial" w:hAnsi="Arial" w:cs="Arial"/>
          <w:sz w:val="22"/>
          <w:szCs w:val="22"/>
        </w:rPr>
        <w:t>РАЗЛОЗИ ЗА ДОНОШЕЊЕ ЗАКОНА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 xml:space="preserve">Разлози за доношење овог закона о давању гаранције Републике Србије  у корист OТП Банка Србија а.д. Нови Сад, Banca Intesa a.d. Beograd, NBG Bank Malta LTD, „АИК Банка” а.д. Ниш и UniCredit Bank Srbija a.d. Београд (у даљем тексту: Зајмодавац) по задужењу Јавно предузеће „Србијагас” Нови Сад (у даљем тексту: Зајмопримац) садржани су у члану 16. </w:t>
      </w:r>
      <w:proofErr w:type="gramStart"/>
      <w:r w:rsidRPr="00815037">
        <w:rPr>
          <w:rFonts w:ascii="Arial" w:hAnsi="Arial" w:cs="Arial"/>
          <w:sz w:val="22"/>
          <w:szCs w:val="22"/>
        </w:rPr>
        <w:t>став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4. Закона о јавном дугу, односно у потписаним уговорима између Зајмодаваца и Зајмопримца у износу од 200.000.000 америчких долара (словима: двестотинемилиона америчких долара), за одржавање текуће ликвидности закључених 8. </w:t>
      </w:r>
      <w:proofErr w:type="gramStart"/>
      <w:r w:rsidRPr="00815037">
        <w:rPr>
          <w:rFonts w:ascii="Arial" w:hAnsi="Arial" w:cs="Arial"/>
          <w:sz w:val="22"/>
          <w:szCs w:val="22"/>
        </w:rPr>
        <w:t>децембра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2014. </w:t>
      </w:r>
      <w:proofErr w:type="gramStart"/>
      <w:r w:rsidRPr="00815037">
        <w:rPr>
          <w:rFonts w:ascii="Arial" w:hAnsi="Arial" w:cs="Arial"/>
          <w:sz w:val="22"/>
          <w:szCs w:val="22"/>
        </w:rPr>
        <w:t>године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(у даљем тексту: Уговор).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Наиме, чланом 16.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став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4. </w:t>
      </w:r>
      <w:proofErr w:type="gramStart"/>
      <w:r w:rsidRPr="00815037">
        <w:rPr>
          <w:rFonts w:ascii="Arial" w:hAnsi="Arial" w:cs="Arial"/>
          <w:sz w:val="22"/>
          <w:szCs w:val="22"/>
        </w:rPr>
        <w:t>Закона о јавном дугу прописано је да се гаранција Републике Србије даје у форми закона.</w:t>
      </w:r>
      <w:proofErr w:type="gramEnd"/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У потписаним уговорима, повлачење средстава кредита у износу од 200.000.000 америчких долара (словима: двестотинемилиона америчких долара), у динарској противвредности, по средњем курсу Народне банке Србије, на дан исплате транше Зајмопримца, условљено је давањем гаранције Републике Србије, односно ступањем на снагу овог закона о давању гаранције Републике Србије у корист OТП Банка Србија а.д. Нови Сад, Banca Intesa a.d. Beograd, NBG Bank Malta LTD, „АИК Банка” а.д. Ниш и UniCredit Bank Srbija a.d. Београд по задужењу Јавног предузећа „Србијагас” Нови Сад.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Гарант неопозиво, безусловно и на први позив гарантује, као примарни дужник уредно и благовремено плаћање сваког и свих износа доспелих за плаћање по основу Уговора о кредиту као и благовремено извршавање свих осталих обавеза Зајмопримца, а у складу са Уговорима о кредиту.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Уколико Гарант оформи ново правно лице које би наставило оперативно пословање Зајмопримца, Гарант је у обавези да предузме све радње са циљем да омогући, између осталог, да ново правно лице приступи дугу и преузме обавезе отплате одобрених кредита.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Средства кредита биће употребљена за одржавање текуће ликвидности Зајмопримца. Издавање гаранције Зајмодавцу од стране Гаранта у износу од 200.000.000 америчких долара, предвиђено је чланом 3.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Закона о буџету Републике Србије за 2014.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годину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(„Службени гласник РС”, бр. 110/13 и 116/14).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Зајмопримац је спровео отворени поступак за набавку финансијских услуга за одржавање текуће ликвидности.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Понуде Banca Intesa a.d. Beograd, NBG Bank Malta LTD, ОТП Банка а.д. Нови Сад, Unicredit Bank Srbija а.д. Београд и „АИК Банка” а.д. Ниш изабране су у поменутом поступку као најповољније понуде. 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Уговорима о кредиту предвиђено је да се кредит одобрава под следећим условима: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износ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кредита, у динарској противвредности са девизном клаузулом,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период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трајања кредита је пет година, укључујући период почека од једне  године,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повлачење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средстава кредита у једној или више транши,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отплата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кредита тромесечна,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15037">
        <w:rPr>
          <w:rFonts w:ascii="Arial" w:hAnsi="Arial" w:cs="Arial"/>
          <w:sz w:val="22"/>
          <w:szCs w:val="22"/>
        </w:rPr>
        <w:t>каматна стопа једнака збиру референтне каматне стопе тромесечни  USD LIBOR, фиксне марже која износи 4,50% и једнократне накнаде од 1,5% за три партије у укупном износу од 30.000.000 америчких долара у динарској противвредности по средњем курсу Народне банке Србије на дан повлачења транше кредита, код Banca Intesa a.d. Beograd;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износ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кредита, у динарској противвредности са девизном клаузулом,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период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трајања кредита је пет година, укључујући период почека од једне  године,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повлачење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средстава кредита у једној или више транши,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отплата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кредита тромесечна,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15037">
        <w:rPr>
          <w:rFonts w:ascii="Arial" w:hAnsi="Arial" w:cs="Arial"/>
          <w:sz w:val="22"/>
          <w:szCs w:val="22"/>
        </w:rPr>
        <w:t>каматна стопа једнака збиру референтне каматне стопе тромесечни  USD LIBOR, фиксне марже која износи 4,71% и једнократне накнаде од 1,5% за две партије у укупном износу од 20.000.000 америчких долара у динарској противвредности по средњем курсу Народне банке Србије на дан повлачења транше кредита, код Banca Intesa a.d. Beograd;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износ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кредита, у динарској противвредности са девизном клаузулом,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период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трајања кредита је пет година, укључујући период почека од једне  године,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повлачење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средстава кредита у једној или више транши,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отплата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кредита тромесечна,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15037">
        <w:rPr>
          <w:rFonts w:ascii="Arial" w:hAnsi="Arial" w:cs="Arial"/>
          <w:sz w:val="22"/>
          <w:szCs w:val="22"/>
        </w:rPr>
        <w:t>каматна стопа једнака збиру референтне каматне стопе тромесечни  USD LIBOR, фиксне марже која износи 4,86% и једнократне накнаде од 1,5% за две партије у укупном износу од 20.000.000 америчких долара у динарској противвредности по средњем курсу Народне банке Србије на дан повлачења транше кредита, код Banca Intesa ад Београд;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износ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кредита, у оригиналној валути,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период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трајања кредита је пет година, укључујући период почека од једне  године,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повлачење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средстава кредита у једној или више транши,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отплата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кредита тромесечна,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15037">
        <w:rPr>
          <w:rFonts w:ascii="Arial" w:hAnsi="Arial" w:cs="Arial"/>
          <w:sz w:val="22"/>
          <w:szCs w:val="22"/>
        </w:rPr>
        <w:t>каматна стопа једнака збиру референтне каматне стопе тромесечни  USD LIBOR, фиксне марже која износи 4,50% и једнократне накнаде од 1,5% за две партије у укупном износу од 20.000.000 америчких долара, код NBG Bank Malta LTD као зајмодавца и Војвођанске банке а.д. Нови Сад као агента обезбеђења и агента исплатиоца;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износ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кредита у динарској противвредности са девизном клаузулом,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период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трајања кредита је пет година, укључујући период почека од једне  године,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повлачење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средстава кредита у једној или више транши,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отплата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кредита тромесечна,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Pr="00815037">
        <w:rPr>
          <w:rFonts w:ascii="Arial" w:hAnsi="Arial" w:cs="Arial"/>
          <w:sz w:val="22"/>
          <w:szCs w:val="22"/>
        </w:rPr>
        <w:t>каматна стопа једнака збиру референтне каматне стопе тромесечни  USD LIBOR, фиксне марже која износи 5,20% и једнократне накнаде од 1,5% за две партије у укупном износу од 20.000.000 америчких долара у динарској противвредности по средњем курсу Народне банке Србије на дан повлачења транше кредита, код ОТП Банка а.д. Нови Сад;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износ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кредита у динарској противвредности са девизном клаузулом,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период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трајања кредита је пет година, укључујући период почека од једне  године,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повлачење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средстава кредита у једној или више транши,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отплата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кредита тромесечна,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15037">
        <w:rPr>
          <w:rFonts w:ascii="Arial" w:hAnsi="Arial" w:cs="Arial"/>
          <w:sz w:val="22"/>
          <w:szCs w:val="22"/>
        </w:rPr>
        <w:t xml:space="preserve">каматна стопа једнака збиру референтне каматне стопе тромесечни  USD LIBOR, фиксне марже која износи 5,45% и једнократне накнаде од 1,5% за три партије у укупном износу од 30.000.000 америчких долара у динарској противвредности по средњем курсу Народне банке Србије на дан повлачења транше кредита, код UniCredit Bank Srbija a.d Београд; 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износ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кредита у динарској противвредности са девизном клаузулом,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период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трајања кредита је пет година, укључујући период почека од једне  године,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повлачење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средстава кредита у једној или више транши,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отплата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кредита тромесечна,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15037">
        <w:rPr>
          <w:rFonts w:ascii="Arial" w:hAnsi="Arial" w:cs="Arial"/>
          <w:sz w:val="22"/>
          <w:szCs w:val="22"/>
        </w:rPr>
        <w:t>каматна стопа једнака збиру референтне каматне стопе тромесечни  USD LIBOR, фиксне марже која износи 6,00% без једнократне накнаде за две партије у укупном износу од 20.000.000 америчких долара у динарској противвредности по средњем курсу Народне банке Србије на дан повлачења транше кредита, код „АИК Банка” а.д. Ниш.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 xml:space="preserve">Након спроведеног поступка јавне набавке и усвојене Основе за давање гаранције за измиривање обавеза Зајмопримца по основу уговора о кредита за одржавање текуће ликвидности, установљено је да је понуда Credit Suisse International London, није испунила додатне услове за давање гаранције од стране Републике Србије због спорних одредби у самом уговору о кредиту. </w:t>
      </w:r>
      <w:proofErr w:type="gramStart"/>
      <w:r w:rsidRPr="00815037">
        <w:rPr>
          <w:rFonts w:ascii="Arial" w:hAnsi="Arial" w:cs="Arial"/>
          <w:sz w:val="22"/>
          <w:szCs w:val="22"/>
        </w:rPr>
        <w:t>Након тога, Зајмопримац је затражио мишљење од стране Управе за јавне набавке којим се тражило одобрење за спровођење преговарачког поступка без објављивања јавног позива за подношење понуда.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      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Својим дописом бр.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404-02-4218/14 од 2.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децембра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2014. </w:t>
      </w:r>
      <w:proofErr w:type="gramStart"/>
      <w:r w:rsidRPr="00815037">
        <w:rPr>
          <w:rFonts w:ascii="Arial" w:hAnsi="Arial" w:cs="Arial"/>
          <w:sz w:val="22"/>
          <w:szCs w:val="22"/>
        </w:rPr>
        <w:t>године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, Управа за јавне набавке одобрила је Зајмопримцу да спроведе преговарачки поступак без објављивања јавног позива за подношење понуда сходно члану 36. </w:t>
      </w:r>
      <w:proofErr w:type="gramStart"/>
      <w:r w:rsidRPr="00815037">
        <w:rPr>
          <w:rFonts w:ascii="Arial" w:hAnsi="Arial" w:cs="Arial"/>
          <w:sz w:val="22"/>
          <w:szCs w:val="22"/>
        </w:rPr>
        <w:t>став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1. </w:t>
      </w:r>
      <w:proofErr w:type="gramStart"/>
      <w:r w:rsidRPr="00815037">
        <w:rPr>
          <w:rFonts w:ascii="Arial" w:hAnsi="Arial" w:cs="Arial"/>
          <w:sz w:val="22"/>
          <w:szCs w:val="22"/>
        </w:rPr>
        <w:t>тачка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3) Закона о јавним набавкама („Службени гласник РСˮ, број 124/12), за додатних 40.000.000 америчких долара, који су неопходни како би се испоштовале обавезе Зајмопримца према страним повериоцима.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Уговором о кредиту предвиђено је да се кредит одобрава под следећим условима: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износ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кредита у динарској противвредности са девизном клаузулом,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период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трајања кредита је пет година, укључујући период почека од једне  године,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повлачење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средстава кредита у једној или више транши,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15037">
        <w:rPr>
          <w:rFonts w:ascii="Arial" w:hAnsi="Arial" w:cs="Arial"/>
          <w:sz w:val="22"/>
          <w:szCs w:val="22"/>
        </w:rPr>
        <w:t>отплата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кредита тромесечна,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Pr="00815037">
        <w:rPr>
          <w:rFonts w:ascii="Arial" w:hAnsi="Arial" w:cs="Arial"/>
          <w:sz w:val="22"/>
          <w:szCs w:val="22"/>
        </w:rPr>
        <w:t>каматна стопа једнака збиру референтне каматне стопе тромесечни  USD LIBOR, фиксне марже која износи 5,45% и једнократне накнаде од 1,5% за три партије у укупном износу од 40.000.000 америчких долара у динарској противвредности по средњем курсу Народне банке Србије на дан повлачења транше кредита, код UniCredit Bank Srbija a.d. Београд.</w:t>
      </w:r>
    </w:p>
    <w:p w:rsidR="00815037" w:rsidRPr="00815037" w:rsidRDefault="00815037" w:rsidP="00815037">
      <w:pPr>
        <w:tabs>
          <w:tab w:val="left" w:pos="1152"/>
        </w:tabs>
        <w:spacing w:before="240" w:after="240"/>
        <w:ind w:firstLine="7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III. ОБЈАШЊЕЊЕ ОСНОВНИХ ПРАВНИХ ИНСТИТУТА И ПОЈЕДИНАЧНИХ РЕШЕЊА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Одредбом члана 1.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Предлога закона предвиђа се преузимање обавезе Гаранта да измири обавезе Зајмопримца по задужењу код Зајмодавца, у износу од 200.000.000 америчких долара у динарској противвредности.</w:t>
      </w:r>
      <w:proofErr w:type="gramEnd"/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Одредбом члана 2.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Предлога закона предвиђа се да гаранцију из члана 1.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овог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закона, Гарант даје Зајмодавцу на име обавезе из Уговора.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Одредбом члана 3.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Предлога закона предвиђа се да гаранцију из члана 1.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овог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закона, Гарант даје Зајмодавцу на име обавезе из Уговора.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Одредбом члана 4.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Предлога закона предвиђа се да гаранцију из члана 1.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овог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закона, Гарант даје Зајмодавцу на име обавезе из Уговора.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Одредбом члана 5.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Предлога закона предвиђа се да гаранцију из члана 1.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овог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закона, Гарант даје Зајмодавцу на име обавезе из Уговора.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Одредбом члана 6.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Предлога закона предвиђа се да гаранцију из члана 1.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овог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закона, Гарант даје Зајмодавцу на име обавезе из Уговора.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Одредбом члана 7.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Предлога закона предвиђа се да гаранцију из члана 1.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овог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закона, Гарант даје Зајмодавцу на име обавезе из Уговора.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Одредбом члана 8.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Предлога закона предвиђа се да гаранцију из члана 1.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овог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закона, Гарант даје Зајмодавцу на име обавезе из Уговора.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Одредбом члана 9.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Предлога закона предвиђа се да гаранцију из члана 1.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овог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закона, Гарант даје Зајмодавцу на име обавезе из Уговора.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Одредбом члана 10.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Предлога закона предвиђају се обавезе Гаранта по основу обавеза из кредита које је закључио Зајмопримац.</w:t>
      </w:r>
      <w:proofErr w:type="gramEnd"/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Одредбом члана 11.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Предлога закона предвиђају се питања која се односе на обавезе које Зајмопримац има у вези са овим кредитима.</w:t>
      </w:r>
      <w:proofErr w:type="gramEnd"/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Одредбом члана 12.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Предлога закона предвиђа се регресно право Гаранта ако по основу издате гаранције изврши обавезу уместо Зајмопримца, као корисника кредита.</w:t>
      </w:r>
      <w:proofErr w:type="gramEnd"/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Одредбом члана 13.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Предлога закона предвиђа се отварање наменског рачуна код Народне банке Србије за плаћање обавеза Зајмопримца уз сагласност министра надлежног за послове финансија.</w:t>
      </w:r>
      <w:proofErr w:type="gramEnd"/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Одредбом члана 14.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Предлога закона предвиђа се ступање на снагу овог закона.</w:t>
      </w:r>
      <w:proofErr w:type="gramEnd"/>
    </w:p>
    <w:p w:rsidR="00815037" w:rsidRPr="00815037" w:rsidRDefault="00815037" w:rsidP="00815037">
      <w:pPr>
        <w:tabs>
          <w:tab w:val="left" w:pos="1152"/>
        </w:tabs>
        <w:spacing w:before="240" w:after="240"/>
        <w:ind w:firstLine="7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IV. ПРОЦЕНА ИЗНОСА ФИНАНСИЈСКИХ СРЕДСТАВА ПОТРЕБНИХ ЗА СПРОВОЂЕЊЕ ЗАКОНА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За спровођење овог закона обезбеђиваће се средства у буџету Републике Србије.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</w:p>
    <w:p w:rsidR="00815037" w:rsidRPr="00815037" w:rsidRDefault="00815037" w:rsidP="00815037">
      <w:pPr>
        <w:keepNext/>
        <w:tabs>
          <w:tab w:val="left" w:pos="1152"/>
        </w:tabs>
        <w:spacing w:before="240" w:after="240"/>
        <w:ind w:firstLine="7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lastRenderedPageBreak/>
        <w:t>V. РАЗЛОЗИ ЗА ДОНОШЕЊЕ ЗАКОНА ПО ХИТНОМ ПОСТУПКУ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Разлози за доношење овог закона по хитном поступку, сагласно члану 167.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Пословника Народне скупштине („Службени гласник РС”, број 20/12 - пречишћен текст), произлазе из чињенице да је ступање на снагу и примена Уговора, односно повлачење средстава и измиривање доспелих обавеза Зајмопримца условљено ступањем на снагу овог закона.</w:t>
      </w:r>
      <w:proofErr w:type="gramEnd"/>
    </w:p>
    <w:p w:rsidR="00815037" w:rsidRPr="00815037" w:rsidRDefault="00815037" w:rsidP="00815037">
      <w:pPr>
        <w:tabs>
          <w:tab w:val="left" w:pos="1152"/>
        </w:tabs>
        <w:spacing w:before="240" w:after="240"/>
        <w:ind w:firstLine="7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VI. РАЗЛОЗИ ЗА СТУПАЊЕ НА СНАГУ ПРЕ ОСМОГ ДАНА ОД ДАНА ОБЈАВЉИВАЊА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Разлози за ступање на снагу овог закона пре осмог дана од дана објављивања у „Службеном гласнику Републике Србије”, сагласно члану 196.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5037">
        <w:rPr>
          <w:rFonts w:ascii="Arial" w:hAnsi="Arial" w:cs="Arial"/>
          <w:sz w:val="22"/>
          <w:szCs w:val="22"/>
        </w:rPr>
        <w:t>став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4. </w:t>
      </w:r>
      <w:proofErr w:type="gramStart"/>
      <w:r w:rsidRPr="00815037">
        <w:rPr>
          <w:rFonts w:ascii="Arial" w:hAnsi="Arial" w:cs="Arial"/>
          <w:sz w:val="22"/>
          <w:szCs w:val="22"/>
        </w:rPr>
        <w:t>Устава Републике Србије, произлазе из чињенице да је за потребе одржавања текуће ликвидности, неопходно закључити уговоре о кредитима са Зајмодавцем у што краћем року како Зајмопримац не би доспео у доцњу, чиме би се угрозила способност Зајмопримца да у року сервисира своје обавезе.</w:t>
      </w:r>
      <w:proofErr w:type="gramEnd"/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br w:type="page"/>
      </w:r>
    </w:p>
    <w:p w:rsidR="00815037" w:rsidRPr="00815037" w:rsidRDefault="00815037" w:rsidP="00815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lastRenderedPageBreak/>
        <w:t>ИЗЈАВA О УСКЛАЂЕНОСТИ ПРОПИСА СА ПРОПИСИМА ЕВРОПСКЕ УНИЈЕ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</w:p>
    <w:p w:rsidR="00815037" w:rsidRPr="00815037" w:rsidRDefault="00815037" w:rsidP="00815037">
      <w:pPr>
        <w:tabs>
          <w:tab w:val="left" w:pos="115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1. Овлашћени предлагач прописа–Влада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27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 xml:space="preserve">Обрађивач:  Министарство финансија 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</w:p>
    <w:p w:rsidR="00815037" w:rsidRPr="00815037" w:rsidRDefault="00815037" w:rsidP="00815037">
      <w:pPr>
        <w:tabs>
          <w:tab w:val="left" w:pos="115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2. Назив прописа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</w:p>
    <w:p w:rsidR="00815037" w:rsidRPr="00815037" w:rsidRDefault="00815037" w:rsidP="00815037">
      <w:pPr>
        <w:tabs>
          <w:tab w:val="left" w:pos="1152"/>
        </w:tabs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ПРЕДЛОГ ЗАКОНАО ДАВАЊУ ГАРАНЦИЈЕ РЕПУБЛИКЕ СРБИЈЕ У КОРИСТ OТП БАНКА СРБИЈА А.Д. НОВИ САД, BANCA INTESA A.D. BEOGRAD, NBG BANK MALTA LTD, АИК БАНКА А.Д.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 НИШ И UNICREDIT BANK SRBIJA A.D. БЕОГРАД, ПО ЗАДУЖЕЊУ ЈАВНОГ ПРЕДУЗЕЋА „СРБИЈАГАС” НОВИ САД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</w:p>
    <w:p w:rsidR="00815037" w:rsidRPr="00815037" w:rsidRDefault="00815037" w:rsidP="00815037">
      <w:pPr>
        <w:tabs>
          <w:tab w:val="left" w:pos="115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 xml:space="preserve">3. Усклађеност прописа са одредбама Споразума о стабилизацији и придруживању између Европских заједница и њихових држава чланица, са једне стране, и Републике Србије са друге </w:t>
      </w:r>
      <w:proofErr w:type="gramStart"/>
      <w:r w:rsidRPr="00815037">
        <w:rPr>
          <w:rFonts w:ascii="Arial" w:hAnsi="Arial" w:cs="Arial"/>
          <w:sz w:val="22"/>
          <w:szCs w:val="22"/>
        </w:rPr>
        <w:t>стране(</w:t>
      </w:r>
      <w:proofErr w:type="gramEnd"/>
      <w:r w:rsidRPr="00815037">
        <w:rPr>
          <w:rFonts w:ascii="Arial" w:hAnsi="Arial" w:cs="Arial"/>
          <w:sz w:val="22"/>
          <w:szCs w:val="22"/>
        </w:rPr>
        <w:t>„Службени гласник РС”, број 83/08)(у даљем тексту: Споразум),односно са одредбама Прелазног споразума о трговини и трговинским питањима између Европске заједнице, са једне стране, и Републике Србије, са друге стране („Службени гласник РС”, број 83/08) (у даљем тексту: Прелазни споразум)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а) Одредба Споразума и Прелазног споразума која се односе на нормативну саржину прописа</w:t>
      </w:r>
    </w:p>
    <w:p w:rsidR="00815037" w:rsidRPr="00815037" w:rsidRDefault="00815037" w:rsidP="00815037">
      <w:pPr>
        <w:tabs>
          <w:tab w:val="left" w:pos="1152"/>
        </w:tabs>
        <w:spacing w:after="120"/>
        <w:jc w:val="center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Нема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б) Прелазни рок за усклађивање законодавства према одредбама Споразума и Прелазног споразума</w:t>
      </w:r>
    </w:p>
    <w:p w:rsidR="00815037" w:rsidRPr="00815037" w:rsidRDefault="00815037" w:rsidP="00815037">
      <w:pPr>
        <w:tabs>
          <w:tab w:val="left" w:pos="1152"/>
        </w:tabs>
        <w:spacing w:after="120"/>
        <w:jc w:val="center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Нема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в) Оцена испуњености обавезе које произлазе из наведене одредбе Споразума и Прелазног споразума</w:t>
      </w:r>
    </w:p>
    <w:p w:rsidR="00815037" w:rsidRPr="00815037" w:rsidRDefault="00815037" w:rsidP="00815037">
      <w:pPr>
        <w:tabs>
          <w:tab w:val="left" w:pos="1152"/>
        </w:tabs>
        <w:spacing w:after="120"/>
        <w:jc w:val="center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Нема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г)  Разлози за делимично испуњавање, односно неиспуњавање обавеза које произлазе из наведене одредбе Споразума и Прелазног споразума</w:t>
      </w:r>
    </w:p>
    <w:p w:rsidR="00815037" w:rsidRPr="00815037" w:rsidRDefault="00815037" w:rsidP="00815037">
      <w:pPr>
        <w:tabs>
          <w:tab w:val="left" w:pos="1152"/>
        </w:tabs>
        <w:spacing w:after="120"/>
        <w:jc w:val="center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Нема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д) Веза са Националним програмом за интеграцију Републике Србије у Европску унију</w:t>
      </w:r>
    </w:p>
    <w:p w:rsidR="00815037" w:rsidRPr="00815037" w:rsidRDefault="00815037" w:rsidP="00815037">
      <w:pPr>
        <w:tabs>
          <w:tab w:val="left" w:pos="1152"/>
        </w:tabs>
        <w:spacing w:after="120"/>
        <w:jc w:val="center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Нема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</w:p>
    <w:p w:rsidR="00815037" w:rsidRPr="00815037" w:rsidRDefault="00815037" w:rsidP="00815037">
      <w:pPr>
        <w:tabs>
          <w:tab w:val="left" w:pos="115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lastRenderedPageBreak/>
        <w:t>4. Усклађеност прописа са прописима Европске уније</w:t>
      </w:r>
    </w:p>
    <w:p w:rsidR="00815037" w:rsidRPr="00815037" w:rsidRDefault="00815037" w:rsidP="00815037">
      <w:pPr>
        <w:tabs>
          <w:tab w:val="left" w:pos="115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Не постоје релевантни прописи Европске уније са којима је потребно ускладити одредбе Предлога закона о давању гаранције Републике Србије у корист ОТП банка Србија а.д. Нови Сад, Banca Intesa a.d. Beograd, NBG Bank Malta LTD, АИК банка а.д. Ниш и UniCredit bank Srbija a.d. Београд, по задужењу Јавног предузећа „Србијагас” Нови Сад.</w:t>
      </w:r>
    </w:p>
    <w:p w:rsidR="00815037" w:rsidRPr="00815037" w:rsidRDefault="00815037" w:rsidP="00815037">
      <w:pPr>
        <w:tabs>
          <w:tab w:val="left" w:pos="115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а) Навођење примарних извора права ЕУ и усклађеност са њима</w:t>
      </w:r>
    </w:p>
    <w:p w:rsidR="00815037" w:rsidRPr="00815037" w:rsidRDefault="00815037" w:rsidP="00815037">
      <w:pPr>
        <w:tabs>
          <w:tab w:val="left" w:pos="115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б) Навођење секундарних извора права ЕУ и усклађеност са њима</w:t>
      </w:r>
    </w:p>
    <w:p w:rsidR="00815037" w:rsidRPr="00815037" w:rsidRDefault="00815037" w:rsidP="00815037">
      <w:pPr>
        <w:tabs>
          <w:tab w:val="left" w:pos="115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в) Навођење осталих извора права ЕУ и усклађенст са њима</w:t>
      </w:r>
    </w:p>
    <w:p w:rsidR="00815037" w:rsidRPr="00815037" w:rsidRDefault="00815037" w:rsidP="00815037">
      <w:pPr>
        <w:tabs>
          <w:tab w:val="left" w:pos="115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г) Разлози за делимичну усклађеност, односно неусклађеност</w:t>
      </w:r>
    </w:p>
    <w:p w:rsidR="00815037" w:rsidRPr="00815037" w:rsidRDefault="00815037" w:rsidP="00815037">
      <w:pPr>
        <w:tabs>
          <w:tab w:val="left" w:pos="1152"/>
        </w:tabs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815037">
        <w:rPr>
          <w:rFonts w:ascii="Arial" w:hAnsi="Arial" w:cs="Arial"/>
          <w:sz w:val="22"/>
          <w:szCs w:val="22"/>
        </w:rPr>
        <w:t>д)Рок</w:t>
      </w:r>
      <w:proofErr w:type="gramEnd"/>
      <w:r w:rsidRPr="00815037">
        <w:rPr>
          <w:rFonts w:ascii="Arial" w:hAnsi="Arial" w:cs="Arial"/>
          <w:sz w:val="22"/>
          <w:szCs w:val="22"/>
        </w:rPr>
        <w:t xml:space="preserve"> у којем је предвиђено постизање потпуне усклађености прописа са прописима Европске уније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</w:p>
    <w:p w:rsidR="00815037" w:rsidRPr="00815037" w:rsidRDefault="00815037" w:rsidP="00815037">
      <w:pPr>
        <w:tabs>
          <w:tab w:val="left" w:pos="115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 xml:space="preserve">5. Уколико не постоје одговарајући прописи Европске уније са којима је потребно обезбедити усклађеност треба констатовати ту чињеницу. </w:t>
      </w:r>
      <w:proofErr w:type="gramStart"/>
      <w:r w:rsidRPr="00815037">
        <w:rPr>
          <w:rFonts w:ascii="Arial" w:hAnsi="Arial" w:cs="Arial"/>
          <w:sz w:val="22"/>
          <w:szCs w:val="22"/>
        </w:rPr>
        <w:t>У овом случају није потребно попуњавати Табелу усклађености прописа.</w:t>
      </w:r>
      <w:proofErr w:type="gramEnd"/>
    </w:p>
    <w:p w:rsidR="00815037" w:rsidRPr="00815037" w:rsidRDefault="00815037" w:rsidP="00815037">
      <w:pPr>
        <w:tabs>
          <w:tab w:val="left" w:pos="115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Не постоје релевантни прописи Европске уније са којима је потребно ускладити одредбе Предлога закона о давању гаранције Републике Србије у корист ОТП банка Србија а.д. Нови Сад, Banca Intesa a.d. Beograd, NBG Bank Malta LTD, АИК банка а.д. Ниш и UniCredit bank Srbija a.d. Београд, по задужењу Јавног предузећа „Србијагас” Нови Сад.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</w:p>
    <w:p w:rsidR="00815037" w:rsidRPr="00815037" w:rsidRDefault="00815037" w:rsidP="00815037">
      <w:pPr>
        <w:tabs>
          <w:tab w:val="left" w:pos="115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6. Да ли су претходно наведени извори права ЕУ преведени на српски језик?</w:t>
      </w:r>
    </w:p>
    <w:p w:rsidR="00815037" w:rsidRPr="00815037" w:rsidRDefault="00815037" w:rsidP="00815037">
      <w:pPr>
        <w:tabs>
          <w:tab w:val="left" w:pos="1152"/>
        </w:tabs>
        <w:spacing w:after="120"/>
        <w:jc w:val="center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Не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</w:p>
    <w:p w:rsidR="00815037" w:rsidRPr="00815037" w:rsidRDefault="00815037" w:rsidP="00815037">
      <w:pPr>
        <w:tabs>
          <w:tab w:val="left" w:pos="115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7. Да ли је пропис преведен на неки службени језик ЕУ?</w:t>
      </w:r>
    </w:p>
    <w:p w:rsidR="00815037" w:rsidRPr="00815037" w:rsidRDefault="00815037" w:rsidP="00815037">
      <w:pPr>
        <w:tabs>
          <w:tab w:val="left" w:pos="1152"/>
        </w:tabs>
        <w:spacing w:after="120"/>
        <w:jc w:val="center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Не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</w:p>
    <w:p w:rsidR="00815037" w:rsidRPr="00815037" w:rsidRDefault="00815037" w:rsidP="00815037">
      <w:pPr>
        <w:tabs>
          <w:tab w:val="left" w:pos="115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8. Учешће консултаната у изради прописаи њихово мишљење о усклађености?</w:t>
      </w:r>
    </w:p>
    <w:p w:rsidR="00815037" w:rsidRPr="00815037" w:rsidRDefault="00815037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815037">
        <w:rPr>
          <w:rFonts w:ascii="Arial" w:hAnsi="Arial" w:cs="Arial"/>
          <w:sz w:val="22"/>
          <w:szCs w:val="22"/>
        </w:rPr>
        <w:t>У изради Предлога закона о давању гаранције Републике Србије у корист ОТП банка Србија а.д. Нови Сад, Banca Intesa a.d. Beograd, NBG Bank Malta LTD, АИК банка а.д. Ниш и UniCredit bank Srbija a.d. Београд, по задужењу Јавног предузећа „Србијагас” Нови Сад, нису учествовали консултанти.</w:t>
      </w:r>
    </w:p>
    <w:p w:rsidR="00FA63D6" w:rsidRPr="00815037" w:rsidRDefault="00FA63D6" w:rsidP="00815037">
      <w:pPr>
        <w:tabs>
          <w:tab w:val="left" w:pos="1152"/>
        </w:tabs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</w:p>
    <w:sectPr w:rsidR="00FA63D6" w:rsidRPr="00815037" w:rsidSect="00416826">
      <w:headerReference w:type="default" r:id="rId9"/>
      <w:headerReference w:type="first" r:id="rId10"/>
      <w:pgSz w:w="11909" w:h="16834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78" w:rsidRDefault="00DA0978" w:rsidP="00FF580C">
      <w:r>
        <w:separator/>
      </w:r>
    </w:p>
  </w:endnote>
  <w:endnote w:type="continuationSeparator" w:id="0">
    <w:p w:rsidR="00DA0978" w:rsidRDefault="00DA0978" w:rsidP="00FF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78" w:rsidRDefault="00DA0978" w:rsidP="00FF580C">
      <w:r>
        <w:separator/>
      </w:r>
    </w:p>
  </w:footnote>
  <w:footnote w:type="continuationSeparator" w:id="0">
    <w:p w:rsidR="00DA0978" w:rsidRDefault="00DA0978" w:rsidP="00FF5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0C" w:rsidRDefault="00FF580C" w:rsidP="00416826">
    <w:pPr>
      <w:pStyle w:val="Header"/>
      <w:rPr>
        <w:lang w:val="sr-Cyrl-CS"/>
      </w:rPr>
    </w:pPr>
  </w:p>
  <w:p w:rsidR="00416826" w:rsidRPr="00416826" w:rsidRDefault="00416826" w:rsidP="00416826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0C" w:rsidRPr="00416826" w:rsidRDefault="00416826" w:rsidP="00416826">
    <w:pPr>
      <w:pStyle w:val="Header"/>
      <w:jc w:val="right"/>
      <w:rPr>
        <w:rFonts w:ascii="Arial" w:hAnsi="Arial" w:cs="Arial"/>
        <w:b/>
        <w:sz w:val="22"/>
        <w:szCs w:val="22"/>
        <w:lang w:val="sr-Cyrl-CS"/>
      </w:rPr>
    </w:pPr>
    <w:r w:rsidRPr="00416826">
      <w:rPr>
        <w:rFonts w:ascii="Arial" w:hAnsi="Arial" w:cs="Arial"/>
        <w:b/>
        <w:sz w:val="22"/>
        <w:szCs w:val="22"/>
        <w:lang w:val="sr-Cyrl-CS"/>
      </w:rPr>
      <w:t>П Р Е Д Л О 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1219"/>
    <w:multiLevelType w:val="hybridMultilevel"/>
    <w:tmpl w:val="72C8DB3E"/>
    <w:lvl w:ilvl="0" w:tplc="DA22F15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F72579"/>
    <w:multiLevelType w:val="hybridMultilevel"/>
    <w:tmpl w:val="C7663A6E"/>
    <w:lvl w:ilvl="0" w:tplc="8318D4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0E"/>
    <w:rsid w:val="00062E4A"/>
    <w:rsid w:val="00120FA7"/>
    <w:rsid w:val="0019770E"/>
    <w:rsid w:val="00222DC4"/>
    <w:rsid w:val="00243231"/>
    <w:rsid w:val="00320830"/>
    <w:rsid w:val="00325809"/>
    <w:rsid w:val="003E1826"/>
    <w:rsid w:val="00416826"/>
    <w:rsid w:val="00483A3A"/>
    <w:rsid w:val="005007F0"/>
    <w:rsid w:val="00533FC5"/>
    <w:rsid w:val="00543604"/>
    <w:rsid w:val="00562D0F"/>
    <w:rsid w:val="00656F5B"/>
    <w:rsid w:val="00815037"/>
    <w:rsid w:val="00A00E04"/>
    <w:rsid w:val="00A479B0"/>
    <w:rsid w:val="00A662B8"/>
    <w:rsid w:val="00AB460D"/>
    <w:rsid w:val="00BD3CBB"/>
    <w:rsid w:val="00C84654"/>
    <w:rsid w:val="00DA0978"/>
    <w:rsid w:val="00FA0E9F"/>
    <w:rsid w:val="00FA63D6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cy FB" w:eastAsiaTheme="minorHAnsi" w:hAnsi="Agency FB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1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0F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ZIVZAKONA">
    <w:name w:val="NAZIV ZAKONA"/>
    <w:basedOn w:val="ZAKON"/>
    <w:qFormat/>
    <w:rsid w:val="00533FC5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C84654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customStyle="1" w:styleId="GLAVA">
    <w:name w:val="GLAVA"/>
    <w:basedOn w:val="ZAKON"/>
    <w:qFormat/>
    <w:rsid w:val="00533FC5"/>
    <w:pPr>
      <w:spacing w:before="1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FF5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80C"/>
    <w:rPr>
      <w:rFonts w:ascii="Arial" w:hAnsi="Arial"/>
    </w:rPr>
  </w:style>
  <w:style w:type="paragraph" w:customStyle="1" w:styleId="ODELJAK">
    <w:name w:val="ODELJAK"/>
    <w:basedOn w:val="ZAKON"/>
    <w:qFormat/>
    <w:rsid w:val="00533FC5"/>
    <w:pPr>
      <w:spacing w:before="120"/>
    </w:pPr>
    <w:rPr>
      <w:caps w:val="0"/>
      <w:sz w:val="22"/>
    </w:rPr>
  </w:style>
  <w:style w:type="paragraph" w:customStyle="1" w:styleId="PODODELJAK">
    <w:name w:val="PODODELJAK"/>
    <w:basedOn w:val="ODELJAK"/>
    <w:qFormat/>
    <w:rsid w:val="00533FC5"/>
  </w:style>
  <w:style w:type="paragraph" w:customStyle="1" w:styleId="PODODELJAKitalic">
    <w:name w:val="PODODELJAK italic"/>
    <w:basedOn w:val="PODODELJAK"/>
    <w:qFormat/>
    <w:rsid w:val="00533FC5"/>
    <w:rPr>
      <w:rFonts w:ascii="Arial" w:hAnsi="Arial"/>
      <w:b w:val="0"/>
      <w:i/>
    </w:rPr>
  </w:style>
  <w:style w:type="paragraph" w:customStyle="1" w:styleId="NAZIVCLANA">
    <w:name w:val="NAZIV CLANA"/>
    <w:basedOn w:val="ODELJAK"/>
    <w:next w:val="Normal"/>
    <w:qFormat/>
    <w:rsid w:val="00533FC5"/>
  </w:style>
  <w:style w:type="paragraph" w:customStyle="1" w:styleId="CLAN">
    <w:name w:val="CLAN"/>
    <w:basedOn w:val="NAZIVCLANA"/>
    <w:next w:val="Normal"/>
    <w:qFormat/>
    <w:rsid w:val="00815037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00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00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F0"/>
    <w:rPr>
      <w:rFonts w:ascii="Arial" w:hAnsi="Arial"/>
    </w:rPr>
  </w:style>
  <w:style w:type="paragraph" w:customStyle="1" w:styleId="1tekst">
    <w:name w:val="1tekst"/>
    <w:basedOn w:val="Normal"/>
    <w:rsid w:val="00815037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81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150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cy FB" w:eastAsiaTheme="minorHAnsi" w:hAnsi="Agency FB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1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0F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ZIVZAKONA">
    <w:name w:val="NAZIV ZAKONA"/>
    <w:basedOn w:val="ZAKON"/>
    <w:qFormat/>
    <w:rsid w:val="00533FC5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C84654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customStyle="1" w:styleId="GLAVA">
    <w:name w:val="GLAVA"/>
    <w:basedOn w:val="ZAKON"/>
    <w:qFormat/>
    <w:rsid w:val="00533FC5"/>
    <w:pPr>
      <w:spacing w:before="1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FF5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80C"/>
    <w:rPr>
      <w:rFonts w:ascii="Arial" w:hAnsi="Arial"/>
    </w:rPr>
  </w:style>
  <w:style w:type="paragraph" w:customStyle="1" w:styleId="ODELJAK">
    <w:name w:val="ODELJAK"/>
    <w:basedOn w:val="ZAKON"/>
    <w:qFormat/>
    <w:rsid w:val="00533FC5"/>
    <w:pPr>
      <w:spacing w:before="120"/>
    </w:pPr>
    <w:rPr>
      <w:caps w:val="0"/>
      <w:sz w:val="22"/>
    </w:rPr>
  </w:style>
  <w:style w:type="paragraph" w:customStyle="1" w:styleId="PODODELJAK">
    <w:name w:val="PODODELJAK"/>
    <w:basedOn w:val="ODELJAK"/>
    <w:qFormat/>
    <w:rsid w:val="00533FC5"/>
  </w:style>
  <w:style w:type="paragraph" w:customStyle="1" w:styleId="PODODELJAKitalic">
    <w:name w:val="PODODELJAK italic"/>
    <w:basedOn w:val="PODODELJAK"/>
    <w:qFormat/>
    <w:rsid w:val="00533FC5"/>
    <w:rPr>
      <w:rFonts w:ascii="Arial" w:hAnsi="Arial"/>
      <w:b w:val="0"/>
      <w:i/>
    </w:rPr>
  </w:style>
  <w:style w:type="paragraph" w:customStyle="1" w:styleId="NAZIVCLANA">
    <w:name w:val="NAZIV CLANA"/>
    <w:basedOn w:val="ODELJAK"/>
    <w:next w:val="Normal"/>
    <w:qFormat/>
    <w:rsid w:val="00533FC5"/>
  </w:style>
  <w:style w:type="paragraph" w:customStyle="1" w:styleId="CLAN">
    <w:name w:val="CLAN"/>
    <w:basedOn w:val="NAZIVCLANA"/>
    <w:next w:val="Normal"/>
    <w:qFormat/>
    <w:rsid w:val="00815037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00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00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F0"/>
    <w:rPr>
      <w:rFonts w:ascii="Arial" w:hAnsi="Arial"/>
    </w:rPr>
  </w:style>
  <w:style w:type="paragraph" w:customStyle="1" w:styleId="1tekst">
    <w:name w:val="1tekst"/>
    <w:basedOn w:val="Normal"/>
    <w:rsid w:val="00815037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81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15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isk-G\Rezanje\Predlozi\4576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4430AC-7FDE-4616-8112-986F94EA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4576-14</Template>
  <TotalTime>1</TotalTime>
  <Pages>11</Pages>
  <Words>3831</Words>
  <Characters>21854</Characters>
  <Application>Microsoft Office Word</Application>
  <DocSecurity>0</DocSecurity>
  <Lines>450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Zeljkovic</dc:creator>
  <cp:lastModifiedBy>Sandra Stankovic</cp:lastModifiedBy>
  <cp:revision>2</cp:revision>
  <cp:lastPrinted>2014-12-15T16:47:00Z</cp:lastPrinted>
  <dcterms:created xsi:type="dcterms:W3CDTF">2014-12-15T16:03:00Z</dcterms:created>
  <dcterms:modified xsi:type="dcterms:W3CDTF">2014-12-15T16:47:00Z</dcterms:modified>
</cp:coreProperties>
</file>